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b/>
          <w:bCs/>
          <w:color w:val="333333"/>
          <w:sz w:val="24"/>
          <w:szCs w:val="24"/>
          <w:lang w:eastAsia="ru-RU"/>
        </w:rPr>
        <w:t>Приказ Министерства просвещения Приднестровской Молдавской Республики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О золотой медали «За отличные успехи в учении, труде и примерное поведение» и серебряной медали «За особые успехи в учении, труде и примерное поведение»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b/>
          <w:i/>
          <w:color w:val="333333"/>
          <w:sz w:val="24"/>
          <w:szCs w:val="24"/>
          <w:lang w:eastAsia="ru-RU"/>
        </w:rPr>
        <w:t>Действующая редакция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по состоянию на 1 марта 2023 года с дополнениями, внесенными Приказом </w:t>
      </w:r>
      <w:r w:rsidRPr="009E2FA1">
        <w:rPr>
          <w:rFonts w:eastAsia="Times New Roman"/>
          <w:bCs/>
          <w:color w:val="333333"/>
          <w:sz w:val="24"/>
          <w:szCs w:val="24"/>
          <w:lang w:eastAsia="ru-RU"/>
        </w:rPr>
        <w:t>Министерства просвещения Приднестровской Молдавской Республики</w:t>
      </w:r>
      <w:r>
        <w:rPr>
          <w:rFonts w:eastAsia="Times New Roman"/>
          <w:bCs/>
          <w:color w:val="333333"/>
          <w:sz w:val="24"/>
          <w:szCs w:val="24"/>
          <w:lang w:eastAsia="ru-RU"/>
        </w:rPr>
        <w:t xml:space="preserve"> от 1марта 2023 года № 205 (регистрационный № 11584) (САЗ 23-10)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Согласован: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Министерство по социальной защите и труду,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Министерство обороны,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Министерство внутренних дел,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Государственные администрации городов и районов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Зарегистрирован Министерством юстиции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Приднестровской Молдавской Республики 6 февраля 2023 г.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i/>
          <w:iCs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i/>
          <w:iCs/>
          <w:color w:val="333333"/>
          <w:sz w:val="24"/>
          <w:szCs w:val="24"/>
          <w:lang w:eastAsia="ru-RU"/>
        </w:rPr>
        <w:t>Регистрационный № 11515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18-4),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от 25 ноября 2022 года № 438 (САЗ 22-47), от 23 декабря 2022 года № 488 (САЗ 22-50), в целях нормативного правового регулирования условий для поощрения лиц, завершивших освоение образовательных программ среднего (полного) общего образования и достигших высоких успехов в обучении, приказываю: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1. Утвердить: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а) порядок и условия поощрения лиц, завершивших в полном объеме освоение образовательных программ среднего (полного) общего образования и прошедших государственную итоговую аттестацию, достигших высоких успехов в обучении, золотой медалью «За отличные успехи в учении, труде и примерное поведение» и серебряной медалью «За особые успехи в учении, труде и примерное поведение» согласно Приложению № 1 к настоящему Приказу;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б) описание и образец золотой медали «За отличные успехи в учении, труде и примерное поведение» и серебряной медали «За особые успехи в учении, труде и примерное поведение» согласно Приложению № 2 к настоящему Приказу.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2. Признать утратившим силу Приказ Министерства просвещения Приднестровской Молдавской Республики от 14 марта 2016 года № 264 Об утверждении Положения о золотой медали «За отличные успехи в учении, труде и примерное поведение» и серебряной медали «За особые успехи в учении, труде и примерное поведение» (регистрационный № 7430 от 10 мая 2016 года) (САЗ 16-19).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4. Настоящий Приказ вступает в силу с 1 сентября 2023 года.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>Министр</w:t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ab/>
        <w:t xml:space="preserve">           </w:t>
      </w:r>
      <w:r w:rsidRPr="009E2FA1">
        <w:rPr>
          <w:rFonts w:eastAsia="Times New Roman"/>
          <w:b/>
          <w:bCs/>
          <w:color w:val="333333"/>
          <w:sz w:val="24"/>
          <w:szCs w:val="24"/>
          <w:lang w:eastAsia="ru-RU"/>
        </w:rPr>
        <w:t>С. Иванишина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г. Тирасполь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lastRenderedPageBreak/>
        <w:t>29 декабря 2022 г.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№ 1178</w:t>
      </w:r>
    </w:p>
    <w:p w:rsidR="009E2FA1" w:rsidRDefault="009E2FA1" w:rsidP="009E2FA1">
      <w:pPr>
        <w:shd w:val="clear" w:color="auto" w:fill="FFFFFF"/>
        <w:spacing w:after="0" w:line="240" w:lineRule="auto"/>
        <w:ind w:firstLine="6375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E2FA1" w:rsidRDefault="009E2FA1" w:rsidP="009E2FA1">
      <w:pPr>
        <w:shd w:val="clear" w:color="auto" w:fill="FFFFFF"/>
        <w:spacing w:after="0" w:line="240" w:lineRule="auto"/>
        <w:ind w:firstLine="6375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left="5103" w:hanging="141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Приложение № 1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5103" w:hanging="141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к Приказу Министерства просвещения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5103" w:hanging="141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Приднестровской Молдавской Республики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5103" w:hanging="141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от 29 декабря 2022 года № 1178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Порядок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и условия поощрения лиц, завершивших в полном объеме освоение образовательных программ среднего (полного) общего образования и прошедших государственную итоговую аттестацию, достигших высоких успехов в обучении, золотой медалью «За отличные успехи в учении, труде и примерное поведение» и серебряной медалью «За особые успехи в учении, труде и примерное поведение»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1. В целях поощрения лиц, завершивших в полном объеме освоение образовательных программ среднего (полного) общего образования и прошедших государственную итоговую аттестацию, достигших высоких успехов в обучении (далее – выпускники), золотой медалью «За отличные успехи в учении, труде и примерное поведение» (далее – золотая медаль) и серебряной медалью «За особые успехи в учении, труде и примерное поведение» (далее – серебряная медаль) местные органы управления образованием по ходатайству муниципальных организаций образования, государственные (негосударственные) организации, осуществляющие образовательную деятельность, предоставляют в уполномоченный Правительством Приднестровской Молдавской Республики исполнительный орган государственной власти, в введении которого находятся вопросы образования, следующие документы: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а) ходатайство о поощрении выпускников медалями с приложением списка кандидатур для награждения;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б) документы, фиксирующие результаты промежуточной аттестации, полученные выпускником на уровне среднего (полного) общего образования;</w:t>
      </w:r>
    </w:p>
    <w:p w:rsidR="009E2FA1" w:rsidRPr="009E2FA1" w:rsidRDefault="009E2FA1" w:rsidP="0086527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в) копии аттестатов выпускников об основном общем образовании с отличием</w:t>
      </w:r>
      <w:r w:rsidR="00865275" w:rsidRPr="00865275">
        <w:t xml:space="preserve"> </w:t>
      </w:r>
      <w:r w:rsidR="00865275">
        <w:rPr>
          <w:rFonts w:eastAsia="Times New Roman"/>
          <w:color w:val="333333"/>
          <w:sz w:val="24"/>
          <w:szCs w:val="24"/>
          <w:lang w:eastAsia="ru-RU"/>
        </w:rPr>
        <w:t xml:space="preserve">при подаче </w:t>
      </w:r>
      <w:r w:rsidR="00865275" w:rsidRPr="00865275">
        <w:rPr>
          <w:rFonts w:eastAsia="Times New Roman"/>
          <w:color w:val="333333"/>
          <w:sz w:val="24"/>
          <w:szCs w:val="24"/>
          <w:lang w:eastAsia="ru-RU"/>
        </w:rPr>
        <w:t>ходатайства о поощрении выпускников, освои</w:t>
      </w:r>
      <w:r w:rsidR="00865275">
        <w:rPr>
          <w:rFonts w:eastAsia="Times New Roman"/>
          <w:color w:val="333333"/>
          <w:sz w:val="24"/>
          <w:szCs w:val="24"/>
          <w:lang w:eastAsia="ru-RU"/>
        </w:rPr>
        <w:t xml:space="preserve">вших образовательную программу </w:t>
      </w:r>
      <w:r w:rsidR="00865275" w:rsidRPr="00865275">
        <w:rPr>
          <w:rFonts w:eastAsia="Times New Roman"/>
          <w:color w:val="333333"/>
          <w:sz w:val="24"/>
          <w:szCs w:val="24"/>
          <w:lang w:eastAsia="ru-RU"/>
        </w:rPr>
        <w:t>основного общего образования в 2023-2024 и последующих учебных годах</w:t>
      </w:r>
      <w:r w:rsidRPr="009E2FA1">
        <w:rPr>
          <w:rFonts w:eastAsia="Times New Roman"/>
          <w:color w:val="333333"/>
          <w:sz w:val="24"/>
          <w:szCs w:val="24"/>
          <w:lang w:eastAsia="ru-RU"/>
        </w:rPr>
        <w:t>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Документы, указанные в части первой настоящего пункта, предоставляются после завершения государственной (итоговой) аттестации, но не позднее 20 июня текущего года.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2. Условия для поощрения выпускников золотой медалью:</w:t>
      </w:r>
    </w:p>
    <w:p w:rsidR="009E2FA1" w:rsidRPr="009E2FA1" w:rsidRDefault="009E2FA1" w:rsidP="0086527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а) аттестат об основном общем образовании с отличием</w:t>
      </w:r>
      <w:r w:rsidR="00865275" w:rsidRPr="00865275">
        <w:rPr>
          <w:sz w:val="24"/>
          <w:szCs w:val="24"/>
        </w:rPr>
        <w:t xml:space="preserve"> </w:t>
      </w:r>
      <w:r w:rsidR="00865275">
        <w:rPr>
          <w:rFonts w:eastAsia="Times New Roman"/>
          <w:color w:val="333333"/>
          <w:sz w:val="24"/>
          <w:szCs w:val="24"/>
          <w:lang w:eastAsia="ru-RU"/>
        </w:rPr>
        <w:t xml:space="preserve">для </w:t>
      </w:r>
      <w:r w:rsidR="00865275" w:rsidRPr="00865275">
        <w:rPr>
          <w:rFonts w:eastAsia="Times New Roman"/>
          <w:color w:val="333333"/>
          <w:sz w:val="24"/>
          <w:szCs w:val="24"/>
          <w:lang w:eastAsia="ru-RU"/>
        </w:rPr>
        <w:t xml:space="preserve">выпускников, освоивших образовательную программу </w:t>
      </w:r>
      <w:r w:rsidR="00865275">
        <w:rPr>
          <w:rFonts w:eastAsia="Times New Roman"/>
          <w:color w:val="333333"/>
          <w:sz w:val="24"/>
          <w:szCs w:val="24"/>
          <w:lang w:eastAsia="ru-RU"/>
        </w:rPr>
        <w:t xml:space="preserve">основного общего образования в </w:t>
      </w:r>
      <w:r w:rsidR="00865275" w:rsidRPr="00865275">
        <w:rPr>
          <w:rFonts w:eastAsia="Times New Roman"/>
          <w:color w:val="333333"/>
          <w:sz w:val="24"/>
          <w:szCs w:val="24"/>
          <w:lang w:eastAsia="ru-RU"/>
        </w:rPr>
        <w:t>2023-2024 и последующих учебных годах)</w:t>
      </w:r>
      <w:r w:rsidRPr="009E2FA1">
        <w:rPr>
          <w:rFonts w:eastAsia="Times New Roman"/>
          <w:color w:val="333333"/>
          <w:sz w:val="24"/>
          <w:szCs w:val="24"/>
          <w:lang w:eastAsia="ru-RU"/>
        </w:rPr>
        <w:t>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б) на уровне среднего (полного) общего образования: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1) результаты промежуточной аттестации «отлично» по всем учебным предметам учебного плана организации образования (далее – учебный план);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2) результаты прохождения государственной (итоговой) аттестации «отлично» (без учета результатов повторного прохождения государственной (итоговой) аттестации);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3) примерное поведение.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3. Условия для поощрения выпускников серебряной медалью:</w:t>
      </w:r>
    </w:p>
    <w:p w:rsidR="009E2FA1" w:rsidRPr="009E2FA1" w:rsidRDefault="009E2FA1" w:rsidP="00AF1C5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а) аттестат об основном общем образовании с отличием</w:t>
      </w:r>
      <w:r w:rsidR="00AF1C59" w:rsidRPr="00AF1C59">
        <w:rPr>
          <w:sz w:val="24"/>
          <w:szCs w:val="24"/>
        </w:rPr>
        <w:t xml:space="preserve"> </w:t>
      </w:r>
      <w:r w:rsidR="00AF1C59">
        <w:rPr>
          <w:rFonts w:eastAsia="Times New Roman"/>
          <w:color w:val="333333"/>
          <w:sz w:val="24"/>
          <w:szCs w:val="24"/>
          <w:lang w:eastAsia="ru-RU"/>
        </w:rPr>
        <w:t xml:space="preserve">(для </w:t>
      </w:r>
      <w:r w:rsidR="00AF1C59" w:rsidRPr="00AF1C59">
        <w:rPr>
          <w:rFonts w:eastAsia="Times New Roman"/>
          <w:color w:val="333333"/>
          <w:sz w:val="24"/>
          <w:szCs w:val="24"/>
          <w:lang w:eastAsia="ru-RU"/>
        </w:rPr>
        <w:t xml:space="preserve">выпускников, освоивших образовательную программу </w:t>
      </w:r>
      <w:r w:rsidR="00AF1C59">
        <w:rPr>
          <w:rFonts w:eastAsia="Times New Roman"/>
          <w:color w:val="333333"/>
          <w:sz w:val="24"/>
          <w:szCs w:val="24"/>
          <w:lang w:eastAsia="ru-RU"/>
        </w:rPr>
        <w:t xml:space="preserve">основного общего образования в </w:t>
      </w:r>
      <w:r w:rsidR="00AF1C59" w:rsidRPr="00AF1C59">
        <w:rPr>
          <w:rFonts w:eastAsia="Times New Roman"/>
          <w:color w:val="333333"/>
          <w:sz w:val="24"/>
          <w:szCs w:val="24"/>
          <w:lang w:eastAsia="ru-RU"/>
        </w:rPr>
        <w:t>2023-2024 и последующих учебных годах</w:t>
      </w:r>
      <w:r w:rsidRPr="009E2FA1">
        <w:rPr>
          <w:rFonts w:eastAsia="Times New Roman"/>
          <w:color w:val="333333"/>
          <w:sz w:val="24"/>
          <w:szCs w:val="24"/>
          <w:lang w:eastAsia="ru-RU"/>
        </w:rPr>
        <w:t>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б) на уровне среднего (полного) общего образования: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lastRenderedPageBreak/>
        <w:t>1) результат промежуточной аттестации «хорошо» не более чем по одному учебному предмету учебного плана, а остальные результаты промежуточной аттестации «отлично»;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2) результаты прохождения государственной (итоговой) аттестации «отлично» (без учета результатов повторного прохождения государственной (итоговой) аттестации).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Допускается результат «хорошо» по одному из учебных предметов государственной (итоговой) аттестации при условии, что результат промежуточной аттестации «хорошо» получен выпускником по тому же учебному предмету;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3) примерное поведение.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4. Выпускники, получившие неудовлетворительный результат по итоговому сочинению (изложению), как условию допуска к государственной (итоговой) аттестации, не могут претендовать на награждение золотой и серебряной медалями (далее – медали).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5. Решение о награждении выпускников медалями принимает уполномоченный Правительством Приднестровской Молдавской Республики исполнительный орган государственной власти, в введении которого находятся вопросы образования.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Решение, указанное в части первой настоящего пункта, принимается в соответствии с настоящим порядком и условиями и оформляется приказом Министерства просвещения Приднестровской Молдавской Республики.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6. Основанием для принятия уполномоченным Правительством Приднестровской Молдавской Республики исполнительным органом государственной власти, в введении которого находятся вопросы образования, решения об отказе в награждении выпускников медалями является несоблюдение настоящего порядка и условий.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7. Выпускникам, награжденным золотой медалью, выдается аттестат о среднем (полном) общем образовании с золотой медалью.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8. Выпускникам, награжденным серебряной медалью, выдается аттестат о среднем (полном) общем образовании с серебряной медалью.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9. Медали вручаются выпускникам в торжественной обстановке.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Вручение медалей обеспечивает учредитель организации образования.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10. При утрате медали дубликат не выдается.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left="482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Приложение № 2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482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к Приказу Министерства просвещения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4820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Приднестровской Молдавской Республики</w:t>
      </w:r>
    </w:p>
    <w:p w:rsidR="009E2FA1" w:rsidRDefault="009E2FA1" w:rsidP="009E2FA1">
      <w:pPr>
        <w:shd w:val="clear" w:color="auto" w:fill="FFFFFF"/>
        <w:spacing w:after="0" w:line="240" w:lineRule="auto"/>
        <w:ind w:left="4820"/>
        <w:rPr>
          <w:rFonts w:eastAsia="Times New Roman"/>
          <w:color w:val="000000"/>
          <w:sz w:val="24"/>
          <w:szCs w:val="24"/>
          <w:lang w:eastAsia="ru-RU"/>
        </w:rPr>
      </w:pPr>
      <w:r w:rsidRPr="009E2FA1">
        <w:rPr>
          <w:rFonts w:eastAsia="Times New Roman"/>
          <w:color w:val="000000"/>
          <w:sz w:val="24"/>
          <w:szCs w:val="24"/>
          <w:lang w:eastAsia="ru-RU"/>
        </w:rPr>
        <w:t>от 29 декабря 2022 года № 1178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left="4820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Описание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золотой медали «За отличные успехи в учении, труде и примерное поведение» и серебряной медали «За особые успехи в учении, труде и примерное поведение»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1. Золотая медаль «За отличные успехи в учении, труде и примерное поведение» (далее – золотая медаль) имеет форму правильного круга, диаметром 40 мм, толщиной 3 мм, из бронзы с напылением из золота, толщиной 10 микрон.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2. Серебряная медаль «За особые успехи в учении, труде и примерное поведение» (далее – серебряная медаль) имеет форму правильного круга, диаметром 40 мм, толщиной 3 мм, из бронзы с напылением из серебра, толщиной 15 микрон.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3. На лицевой стороне золотой медали на фоне расходящихся лучей изображена раскрытая книга, окаймленная снизу и справа лавровой ветвью. По окружности золотой медали надпись: «За отличные успехи в учении, труде и примерное поведение».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4. На лицевой стороне серебряной медали на фоне расходящихся лучей изображена раскрытая книга, окаймленная снизу и справа лавровой ветвью. По окружности серебряной медали надпись: «За особые успехи в учении, труде и примерное поведение».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lastRenderedPageBreak/>
        <w:t>5. На оборотной стороне золотой и серебряной медалей (далее – медали) по окружности располагается надпись: «Приднестровская Молдавская Республика» на молдавском, русском и украинском языках.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В центре медалей размещен Государственный герб Приднестровской Молдавской Республики.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Края медалей окаймлены бортиком.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6. В верхней части медалей над центром расходящихся лучей скоба, в которую вдевается красная шелковая лента шириной 28 мм, посередине ленты зеленая полоска шириной 7 мм, длина ленты 750 мм.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7. Изображение и надписи на медалях выпуклые.</w:t>
      </w:r>
    </w:p>
    <w:p w:rsidR="009E2FA1" w:rsidRDefault="009E2FA1" w:rsidP="009E2FA1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Образец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E2FA1">
        <w:rPr>
          <w:rFonts w:eastAsia="Times New Roman"/>
          <w:color w:val="333333"/>
          <w:sz w:val="24"/>
          <w:szCs w:val="24"/>
          <w:lang w:eastAsia="ru-RU"/>
        </w:rPr>
        <w:t>серебряной медали «За особые успехи в учении, труде и примерное поведение»</w:t>
      </w:r>
    </w:p>
    <w:p w:rsidR="009E2FA1" w:rsidRPr="009E2FA1" w:rsidRDefault="009E2FA1" w:rsidP="009E2FA1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381258" w:rsidRPr="009E2FA1" w:rsidRDefault="009E2FA1" w:rsidP="009E2FA1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05C154B7">
            <wp:extent cx="4886325" cy="66668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80" cy="669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81258" w:rsidRPr="009E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048FD"/>
    <w:multiLevelType w:val="multilevel"/>
    <w:tmpl w:val="BDB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98"/>
    <w:rsid w:val="00125FF7"/>
    <w:rsid w:val="00314CA7"/>
    <w:rsid w:val="00381258"/>
    <w:rsid w:val="00447F98"/>
    <w:rsid w:val="00680A7D"/>
    <w:rsid w:val="00744014"/>
    <w:rsid w:val="007E0CA8"/>
    <w:rsid w:val="00865275"/>
    <w:rsid w:val="009E2FA1"/>
    <w:rsid w:val="00AF1C59"/>
    <w:rsid w:val="00C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2393-12A1-46A4-97B8-8117DA8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A1"/>
  </w:style>
  <w:style w:type="paragraph" w:styleId="1">
    <w:name w:val="heading 1"/>
    <w:basedOn w:val="a"/>
    <w:next w:val="a"/>
    <w:link w:val="10"/>
    <w:uiPriority w:val="9"/>
    <w:qFormat/>
    <w:rsid w:val="00680A7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A7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818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4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358509064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925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3782870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279339361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21049568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941231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 Людмила Николаевна</dc:creator>
  <cp:keywords/>
  <dc:description/>
  <cp:lastModifiedBy>Скалецкая Людмила Николаевна</cp:lastModifiedBy>
  <cp:revision>4</cp:revision>
  <dcterms:created xsi:type="dcterms:W3CDTF">2024-03-04T06:38:00Z</dcterms:created>
  <dcterms:modified xsi:type="dcterms:W3CDTF">2024-03-04T06:50:00Z</dcterms:modified>
</cp:coreProperties>
</file>