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FB42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Приказ Министерства просвещения Приднестровской Молдавской Республики</w:t>
      </w:r>
      <w:r w:rsidR="00935695" w:rsidRPr="00FB42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от 12 февраля 2018 № 133 </w:t>
      </w:r>
      <w:r w:rsidR="00283FD6" w:rsidRPr="00FB42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</w:t>
      </w:r>
      <w:r w:rsidRPr="00FB4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утверждении Положения об исследовательском обществе учащихся</w:t>
      </w:r>
      <w:r w:rsidR="00283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bookmarkEnd w:id="0"/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Согласован: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Государственные администрации городов и районов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Зарегистрирован Министерством юстиции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Приднестровской Молдавской Республики 4 апреля 2018 г.</w:t>
      </w:r>
    </w:p>
    <w:p w:rsidR="00D01596" w:rsidRDefault="00D01596" w:rsidP="00283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Регистрационный № 8202</w:t>
      </w:r>
    </w:p>
    <w:p w:rsidR="00283FD6" w:rsidRPr="00D01596" w:rsidRDefault="00283FD6" w:rsidP="00283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 с изменениями и дополнениями, внесенными законами Приднестровской Молдавской Республики от 17 ноября 2005 года № 666-ЗИ-III (САЗ 05-47), от 7 августа 2006 года № 71-ЗИД-IV (САЗ 06-33), от 12 июня 2007 года № 223-ЗИД-IV (САЗ 07-25), от 27 февраля 2008 года № 407-ЗИД-IV (САЗ 08-8), от 25 июля 2008 года № 500-ЗИ-IV (САЗ 08-29), от 24 ноября 2008 года № 591-ЗИД-IV (САЗ 08-47), от 17 декабря 2008 года № 621-ЗИ-IV (САЗ 08-50), от 19 января 2009 года № 654-ЗДИ-IV (САЗ 09-4), от 13 апреля 2009 года № 722-ЗИ-IV (САЗ 09-16), от 30 июля 2009 года № 816-ЗИД-IV (САЗ 09-31), от 23 сентября 2009 года № 861-ЗИ-IV (САЗ 09-39), от 13 июля 2010 года № 126-ЗД-IV (САЗ 10-28), от 26 мая 2011 года № 73-ЗИД-V (САЗ 11-21), от 3 ноября 2011 года № 199-ЗИД-V (САЗ 11-44), от 2 декабря 2011 года № 225-ЗИ-V (САЗ 11-48), от 28 декабря 2011 года № 253-ЗД-V (САЗ 12-1), от 20 марта 2012 года № З0-ЗИД-V (САЗ 12-13), от 28 апреля 2012 года № 56-ЗИД-V (САЗ 12-18), от 11 мая 2012 года № 65-ЗД-V (САЗ 12-20), от 11 мая 2012 года № 67-ЗИ-V (САЗ 12-20), от 7 июня 2012 года № 85-ЗИ-V (САЗ 12-24), от 19 июня 2012 года № 95-ЗИ-V (САЗ 12-26), от 16 октября 2012 года № 194-ЗИ-V (САЗ 12-43), от 22 января 2013 года № 27-ЗИ-V (САЗ 13-3), от 13 февраля 2013 года № 41-ЗИ-V (САЗ 13-6), от 8 апреля 2013 года № 88-ЗИД-V (САЗ 13-14), от 8 мая 2013 года № 102-ЗИД-V (САЗ 13-18), от 16 июля 2013 года № 161-ЗИД-V (САЗ 13-28), от 2 декабря 2013 года № 255-ЗД-V (САЗ 13-48), от 17 декабря 2013 года № 279-3Д-V (САЗ 13-50), от 30 декабря 2013 года № 293-ЗИ-V (САЗ 14-1), от 14 января 2014 года № 2-ЗИ-V (САЗ 14-3), от 4 февраля 2014 года № 42-ЗИД-V (САЗ 14-6), от 10 апреля 2014 года № 79-ЗД-V (САЗ 14-15), от 11 апреля 2014 года № 80-ЗИД-V (САЗ 14-15), от 17 апреля 2014 года № 82-ЗИ-V (САЗ 14-16), от 24 апреля 2014 года № 91-ЗИ-V (САЗ 14-17), от 9 июня 2014 года № 107-3Д-V (САЗ 14-24), от 14 июля 2014 года № 134-3Д-V (САЗ 14-29), от 4 декабря 2014 года № 197-ЗИ-V (САЗ 14-49), от 23 декабря 2014 года № 216-ЗИД-V (САЗ 14-52), от 23 декабря 2014 года № 217-ЗИД-V (САЗ 14-52), от 15 января 2015 года № 6-3Д-V (САЗ 15-3), от 15 января 2015 года № 7-ЗИД-V (САЗ 15-3), от 15 января 2015 года № 8-3Д-V (САЗ 15-3), от 16 января 2015 года № З0-ЗИ-V (САЗ 15-3), от 17 февраля 2015 года № 40-ЗИД-V (САЗ 15-8), от 24 марта 2015 года № 51-ЗИД-V (САЗ 15-13), от 24 марта 2015 года № 55-ЗД-V (САЗ 15-13), от 5 мая 2015 года № 75-3Д-V (САЗ 15-19), от 18 мая 2015 года № 80-ЗД-V (САЗ 15-21), от 18 мая 2015 года № 81-ЗИД-V (САЗ 15-</w:t>
      </w: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21), от 2 июня 2015 года № 94-ЗИД-V (САЗ 15-23), от 1 июля 2015 года № 107-ЗИ-V (САЗ 15-27), от 8 июля 2015 года № 115-ЗИД-V (САЗ 15-28), от 12 февраля 2016 года № 11-ЗД-VI (САЗ 16-6), от 12 февраля 2016 года № 14-ЗД-VI (САЗ 16-6), от 12 мая 2016 года № 121-ЗИ-VI (САЗ 16-19), от 25 мая 2016 года № 142-3Д-VI (САЗ 16-21), от 1 июля 2016 года № 167-ЗД-VI (САЗ 16-26), от 27 октября 2016 года № 232-ЗД-VI (САЗ 16-43), от 27 октября 2016 года № 234-ЗИ-VI (САЗ 16-43), от 18 ноября 2016 года № 247-ЗД-VI (САЗ 16-46), от 9 декабря 2016 года № 281-ЗИ-VI (САЗ 16-49), от 23 декабря 2016 года № 294-ЗИ-VI (САЗ 17-1), от 3 мая 2017 № 93-ЗД-VI (САЗ 17-19), от 10 мая 2017 № 102-ЗИ-VI (САЗ 17-20), от 10 мая 2017 года № 104-ЗИД-VI (САЗ 17-20), от 19 июня 2017 года № 133-ЗИ-VI (САЗ 17-25), от 22 июня 2017 года № 182-ЗИ-VI (САЗ 17-26), от 3 июля 2017 года № 206-ЗИД-VI (САЗ 17-28), от 21 июля 2017 года № 232-ЗД-VI (САЗ 17-30), от 18 сентября 2017 года № 243-ЗД-VI (САЗ 17-39), от 18 декабря 2017 года № 378-ЗИД-VI (САЗ 17-52), в целях организации работы с одаренными детьми, создания условий для выявления и развития интеллектуальных, познавательных и творческих способностей учащихся, повышения качества образования, приказываю: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Утвердить Положение об исследовательском обществе учащихся согласно Приложению к настоящему Приказу.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Контроль за исполнением настоящего Приказа возложить на заместителя министра просвещения Приднестровской Молдавской Республики.</w:t>
      </w:r>
    </w:p>
    <w:p w:rsid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Настоящий Приказ вступает в силу со дня, следующего за днем его официального опубликования.</w:t>
      </w:r>
    </w:p>
    <w:p w:rsidR="00283FD6" w:rsidRPr="00D01596" w:rsidRDefault="00283FD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Министр </w:t>
      </w: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  <w:r w:rsidR="00283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</w:t>
      </w:r>
      <w:r w:rsidRPr="00D015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Т. Логинова</w:t>
      </w:r>
    </w:p>
    <w:p w:rsidR="00D01596" w:rsidRPr="00283FD6" w:rsidRDefault="00D01596" w:rsidP="00283FD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D01596" w:rsidRDefault="00D01596" w:rsidP="00283FD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к Приказу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Министерства просвещения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12 февраля 2018 г. № 133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Положение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исследовательском обществе учащихся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Общие положения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Исследовательское общество учащихся (далее - ИОУ) - добровольное творческое объединение учащихся, стремящихся совершенствовать свои знания в определенной области науки, искусства, техники и производства, самостоятельно развивать свой интеллект, приобретать умения и навыки исследовательской и опытнической деятельности под руководством ученых, педагогов и других специалистов.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Основные цели и задачи ИОУ: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а) развитие системы внеклассной и кружковой работы в образовательном учреждении;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диагностика способностей, возможностей и наклонностей учащихся;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подготовка учащихся к научно-исследовательской деятельности;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профессиональная ориентация учащихся;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проведение исследований, имеющих практическое значение;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пропаганда достижений науки, техники, литературы, искусства;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 воспитание потребности к расширению знаний, развитие самостоятельности мышления, познавательных интересов, творческих способностей учащихся;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з) формирование научного мировоззрения, организаторских способностей.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Структура и организация работы ИОУ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Структуру ИОУ организации общего или дополнительного образования образуют: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председатель ИОУ;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совет руководителей секций ИОУ;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секции.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Председатель и руководители секций ИОУ назначаются приказом директора организации образования из числа заместителей директора и опытных педагогов. Председатель ИОУ возглавляет совет руководителей секций.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Председатель ИОУ: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согласовывает программы и графики работы каждой секции;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разрабатывает ежегодные планы работы ИОУ;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решает организационные вопросы, в том числе взаимодействия с Советом организации образования и Попечительским советом организации образования;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готовит ежегодный отчет о работе ИОУ на Совет организации образования.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Совет руководителей секций: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составляет программу исследований и тематику работ участников ИОУ и назначает научных руководителей индивидуальных (групповых) исследовательских проектов из числа педагогов;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планирует работу секций;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заслушивает и рецензирует доклады участников ИОУ;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готовит итоговую ежегодную конференцию ИОУ организации образования;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отбирает лучшие работы на городскую (районную) конференцию ИОУ.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 руководителей секций собирается по мере необходимости, но не реже 2 (двух) раз в год.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 составе ИОУ создаются секции (натуралистические, технические, предметные, прикладных наук и другие) в зависимости от возможностей организации образования и педагогического коллектива.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работе секций могут принимать участие учащиеся 7-11 классов, систематически занимающиеся исследовательской и опытнической работой.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Секцию возглавляет руководитель-педагог, осуществляющий руководство исследовательской и экспериментальной работой участников ИОУ.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секций ведется по трем направлениям: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теоретические занятия по программе, согласованной советом руководителей секций и утвержденной председателем ИОУ;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семинарские занятия, на которых выступают участники секций с изложением результатов своих работ;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самостоятельная работа участников секций ИОУ экспериментального или реферативного характера.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Содержание и формы работы ИОУ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ИОУ организации образования: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организует и проводит исследовательские работы, в том числе </w:t>
      </w:r>
      <w:proofErr w:type="spellStart"/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межсекционные</w:t>
      </w:r>
      <w:proofErr w:type="spellEnd"/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проекты, согласно плану работы ИОУ;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проводит конференции, диспуты, лектории на научные темы;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проводит конкурсы и выставки работ участников ИОУ;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участвует в олимпиадах и других турнирах по различным областям знаний;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выполняет заказы научно-исследовательского характера учреждений, предприятий, научных организаций;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создает музеи;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 участвует в городской (районной) конференции ИОУ.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Работа ИОУ может проводиться в формах: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секционной, кружковой;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индивидуальной;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массовой.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Индивидуальная работа участника ИОУ предполагает самостоятельную работу с источниками, литературой, самостоятельное выполнение заданий, работу над докладами, рефератами с периодической консультацией руководителя.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массовой работе относятся: общие собрания участников ИОУ, конференции, конкурсы, смотры, олимпиады, встречи с учеными и специалистами, организация тематических вечеров и выставок, экскурсии, посещение научных лабораторий и другие.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Организация и проведение конференции ИОУ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Итоги работы ИОУ подводятся на конференции, проводимой в три тура по двум возрастным категориям (7-9 классы, 10-11 классы):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1 тур - в организации образования;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2 тур - городская (районная) конференция;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3 тур - республиканская конференция.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Все три тура конференции проводятся один раз в два года.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Устанавливаются следующие сроки проведения конференции: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1 тур - сроки устанавливаются организацией образования;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2 тур - сроки устанавливаются местным органом управления образованием, но не позднее первой половины февраля;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3 тур - первая половина апреля.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11. Для организации и проведения конференции ИОУ приказами руководителя соответствующего отраслевого уровня создаются оргкомитет и по его представлению жюри в соответствии с перечнем секций, а при необходимости другие организационные структуры.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Оргкомитеты конференций создаются не позднее, чем за 2 (два) месяца до начала соответствующего тура конференции в течение 10 (десяти) дней представляют на утверждение руководителю соответствующего отраслевого уровня управления образованием программу подготовки и проведения конференции и состав жюри.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Оргкомитеты конференции определяют с последующим утверждением на соответствующем отраслевом уровне управления: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состав жюри;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формы и сроки работы с представителями команд участников;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порядок проведения конференции;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прием и систематизация работ, обобщение заявок;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порядок награждения и другие организационные вопросы, входящие в их компетенцию.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Жюри: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рецензируют и оценивают исследовательские работы, представленные для участия в конференции на заочном этапе конференции;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организуют работу участников во время конференции;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определяют призеров. Решение принимается согласно среднему общему количеству баллов, выставленным участнику секции каждым членом жюри. Запротоколированные решения жюри конференции являются окончательными и апеллированию не подлежат;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подводят итоги работы секций, составляют отчет и предоставляют его председателю соответствующего оргкомитета.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В конференции 1-го тура принимают участие участники ИОУ организации общего и дополнительного образования.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Участниками 2-го тура конференции являются победители (призеры) 1-го тура конференции.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Для участия в 3-ем туре допускаются победители (призеры) 2-го тура конференции, включенные в заявку установленного образца согласно Приложению № 1 к настоящему Положению.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 Работы призеров 2-го тура и заявки предоставляются в оргкомитет не позднее, чем за 1 месяц до начала 3-го тура конференции.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3-ий тур конференции проводится в два этапа: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предварительное рецензирование заявленных работ;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секционная работа.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Предварительное рецензирование работ участников на соответствие требованиям и критериям, предъявляемым к исследовательским работам учащихся, проводится комиссиями или членами жюри, состав которых утверждается на соответствующем уровне управления образованием.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Все заявленные работы могут быть проверены на плагиат, в том числе с применением компьютерных программ по выявлению Интернет (и иного) - плагиата.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результатах предварительного рецензирования сообщается городским (районным) управлениям народного образования в течение недели после получения результатов.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предварительного рецензирования определяется состав участников, допущенных для работы по секциям.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2-ом этапе конференции слушаются и обсуждаются работы участников, определяются призеры конференции в соответствии с Приложением № 2 к настоящему Положению.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Подведение итогов и поощрение призеров конференции ИОУ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По итогам каждого тура конференции председатель оргкомитета предоставляет обобщенный отчет, содержащий анализ, выводы и предложения руководителю соответствующего уровня управления образованием.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 Призеры 1-го тура конференции награждаются грамотами организации образования. Призеры 2-го тура награждаются грамотами городского (районного) управления народного образования. Призеры 2-го и 3-го туров по решению педсовета организации образования могут быть освобождены от переводных экзаменов по соответствующей дисциплине.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Итоговая оценка выставляется в соответствии с годовой оценкой.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 Призеры 3-го тура конференции награждаются именными удостоверениями Министерства просвещения Приднестровской Молдавской Республики.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они имеют право на льготы при поступлении в государственные организации профессионального образования в соответствии с правилами приема.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23. Количество победителей и призеров (не более трех) на всех турах конференции определяются по двум возрастным категориям (7-9 классы, 10-11 классы) по каждой секции отдельно согласно Приложению № 3 к настоящему Положению.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Общие требования к исследовательским работам участников ИОУ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24. Исследовательскими считаются работы: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освещающие малоизвестные или неизвестные факты, события, явления и их отдельные стороны;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связанные с научными обобщениями, собственными выводами, полученными в результате самостоятельной (исследовательской, экспериментальной, опытной) работы;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по конструированию моделей и приборов, вносящие принципиально новые элементы решения научно-практических задач;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содействующие совершенствованию учебно-воспитательного процесса, школьных экспериментов, рационализации производственных процессов.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25. Исследовательская работа завершается самостоятельно сделанными выводами.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26. На 3 тур конференции ИОУ работы предоставляются в одном экземпляре с двумя рецензиями, содержат не более 20 печатных листов формата А4, оформляются согласно требованиям, предъявляемым к исследовательским работам согласно Приложению № 4 к настоящему Положению.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работе могут прилагаться рисунки, чертежи, фотоснимки, карты, видео.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27. Защита работ может сопровождаться презентацией, демонстрациями. Общее время, отводимое на защиту работы, составляет до 7 (семи) минут.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Финансирование и материальная база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28. Финансирование и организация работы ИОУ организации образования, 1 тура конференции осуществляется организациями образования, попечительскими советами этих организаций.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Материальная база ИОУ формируется из собственных средств организации образования, базы предоставленной учредителями, а также, по согласованию, другими учреждениями, предприятиями и организациями.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29. Финансирование 2 тура конференции ИОУ осуществляется местными органами управления образованием.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Расходы на подвоз участников конференции осуществляются за счет средств учредителей организаций образования.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30. Финансирование 3 тура конференции ИОУ осуществляется исполнительным органом власти, в ведении которого находятся вопросы образования, из бюджетных и внебюджетных источников согласно установленной смете.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Расходы на подвоз участников 3-го тура конференции ИОУ осуществляются за счет местных органов управления образованием.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№ 1 к Положению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исследовательском обществе учащихся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Заявка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участие в Республиканской конференции исследовательского общества учащихся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______________ учебном году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 «УНО _______________________»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Секция «__________________»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1388"/>
        <w:gridCol w:w="730"/>
        <w:gridCol w:w="1147"/>
        <w:gridCol w:w="1859"/>
        <w:gridCol w:w="1218"/>
        <w:gridCol w:w="881"/>
        <w:gridCol w:w="1754"/>
      </w:tblGrid>
      <w:tr w:rsidR="00D01596" w:rsidRPr="00D01596" w:rsidTr="00D01596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01596" w:rsidRPr="00D01596" w:rsidRDefault="00D01596" w:rsidP="0028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</w:t>
            </w:r>
          </w:p>
          <w:p w:rsidR="00D01596" w:rsidRPr="00D01596" w:rsidRDefault="00D01596" w:rsidP="0028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 (город), полное наименование организации образования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 итогам II тура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руководителя работы, его место работы, должность</w:t>
            </w:r>
          </w:p>
        </w:tc>
      </w:tr>
      <w:tr w:rsidR="00D01596" w:rsidRPr="00D01596" w:rsidTr="00D01596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596" w:rsidRPr="00D01596" w:rsidTr="00D01596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596" w:rsidRPr="00D01596" w:rsidTr="00D01596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596" w:rsidRDefault="00D01596" w:rsidP="00283FD6">
      <w:pPr>
        <w:shd w:val="clear" w:color="auto" w:fill="FFFFFF"/>
        <w:spacing w:after="0" w:line="240" w:lineRule="auto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D01596" w:rsidRDefault="00D01596" w:rsidP="00283FD6">
      <w:pPr>
        <w:shd w:val="clear" w:color="auto" w:fill="FFFFFF"/>
        <w:spacing w:after="0" w:line="240" w:lineRule="auto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D01596" w:rsidRDefault="00D01596" w:rsidP="00283FD6">
      <w:pPr>
        <w:shd w:val="clear" w:color="auto" w:fill="FFFFFF"/>
        <w:spacing w:after="0" w:line="240" w:lineRule="auto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D01596" w:rsidRDefault="00D01596" w:rsidP="00283FD6">
      <w:pPr>
        <w:shd w:val="clear" w:color="auto" w:fill="FFFFFF"/>
        <w:spacing w:after="0" w:line="240" w:lineRule="auto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D01596" w:rsidRDefault="00D01596" w:rsidP="00283FD6">
      <w:pPr>
        <w:shd w:val="clear" w:color="auto" w:fill="FFFFFF"/>
        <w:spacing w:after="0" w:line="240" w:lineRule="auto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D01596" w:rsidRDefault="00D01596" w:rsidP="00283FD6">
      <w:pPr>
        <w:shd w:val="clear" w:color="auto" w:fill="FFFFFF"/>
        <w:spacing w:after="0" w:line="240" w:lineRule="auto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D01596" w:rsidRDefault="00D01596" w:rsidP="00283FD6">
      <w:pPr>
        <w:shd w:val="clear" w:color="auto" w:fill="FFFFFF"/>
        <w:spacing w:after="0" w:line="240" w:lineRule="auto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D01596" w:rsidRDefault="00D01596" w:rsidP="00283FD6">
      <w:pPr>
        <w:shd w:val="clear" w:color="auto" w:fill="FFFFFF"/>
        <w:spacing w:after="0" w:line="240" w:lineRule="auto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D01596" w:rsidRDefault="00D01596" w:rsidP="00283FD6">
      <w:pPr>
        <w:shd w:val="clear" w:color="auto" w:fill="FFFFFF"/>
        <w:spacing w:after="0" w:line="240" w:lineRule="auto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D01596" w:rsidRPr="00D01596" w:rsidRDefault="00D01596" w:rsidP="00283FD6">
      <w:pPr>
        <w:shd w:val="clear" w:color="auto" w:fill="FFFFFF"/>
        <w:spacing w:after="0" w:line="240" w:lineRule="auto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№ 2 к Положению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исследовательском обществе учащихся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Критерии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оценивания работ участников конференции ИОУ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Ф.И.О. участника_______________________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Тип работы: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2 - работа носит реферативный характер;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4 - работа носит исследовательский характер;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5 - работа раскрывает тему, при этом использованы наблюдения, анализ, обобщение данных, алгоритмы и т.д.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Оригинальность подхода в выборе тематики работы: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1 - традиционная тематика, т.е. часто повторяющаяся в исследованиях;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3 - работа строится вокруг новых идей, нестандартных решений;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Соответствие структуры работы установленным требованиям: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1 - в работе не соблюдается структура, имеются нарушения в оформлении;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2 - в работе отсутствует один или несколько основных разделов;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3 - работа структурирована в соответствии с требованиями.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Анализ литературных источников по теме: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0 - анализ литературы отсутствует;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1 - анализ литературы имеется, но взят из других работ, источники не соответствуют тематике работы;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2 - приведены сведения из 1-3 литературных источников со ссылками на них;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3 - приведены сведения из 5 и более литературных источников со ссылками на них;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4 - имеются ссылки на все источники.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Практическая значимость: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1 - результаты работы могут быть использованы в подготовке квалификационных работ;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2 - результаты оригинальны и могут быть опубликованы;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3 - работа может быть использована при организации учебно-воспитательного процесса.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Владение автором научным, специальным аппаратом: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0 - автор не владеет научной терминологией по теме;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б) 1 - автор частично владеет научной терминологией по теме, умело использует;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3 - автор владеет научной терминологией по теме, умело использует.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Соответствие содержания работы сформулированной теме, цели и поставленным задачам исследования: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0 - не соответствует;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1 - частично соответствует;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2 - полностью соответствует.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Аргументированность выводов.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1 - полученные результаты (выводы) не аргументированы научными данными (логикой, последовательностью, математической статистикой и другими);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2 - полученные результаты (выводы) частично аргументированы научным инструментарием;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3 - полученные результаты (выводы) аргументированы научным инструментарием.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Качество представления работы: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1 - доклад зачитывается;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2 - доклад рассказывается, но не объяснена суть работы;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4 - доклад четко выстроен;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5 - кроме хорошего доклада показано владение иллюстративным материалом и свободное изложение темы работы.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Регламент выступления: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0 - не выдержан регламент;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2 - выдержан регламент.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Качество ответов на вопросы: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0 - не может ответить на вопросы;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1 - не может ответить на большинство вопросов;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2 - отвечает на большинство вопросов, неуверенно аргументирует;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3 - отвечает на большинство вопросов;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4 - убедительно отвечает на все вопросы;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5 - имеет собственную позицию и готов ее отстаивать.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Использование демонстрационного материала: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1 - представленный демонстрационный материал не используется докладчиком;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2 - демонстрационный материал используется в докладе;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4 - автор представляет демонстрационный материал и свободно в нем ориентируется.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Оформление демонстрационного материала: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1 - демонстрационный материал недостаточно оформлен;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2 - демонстрационный материал хорошо оформлен, но допущены неточности;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3 - демонстрационный материал оформлен четко, доступно.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Владение автором научным и специальным аппаратом: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0 - автор не владеет терминологией;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б) 1 - автор частично владеет терминологией;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2 - автор владеет терминологией.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Четкость выводов, обобщающих доклад: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0 - нет выводов;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1 - выводы нечеткие, не аргументированы;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3 - выводы полностью отражают итоги работы, аргументированы.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набранных баллов:_________________________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Подпись члена жюри___________________________________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</w:t>
      </w:r>
    </w:p>
    <w:p w:rsidR="00D01596" w:rsidRPr="00283FD6" w:rsidRDefault="00D01596" w:rsidP="00283FD6">
      <w:pPr>
        <w:shd w:val="clear" w:color="auto" w:fill="FFFFFF"/>
        <w:spacing w:after="0" w:line="240" w:lineRule="auto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D01596" w:rsidRDefault="00D01596" w:rsidP="00283FD6">
      <w:pPr>
        <w:shd w:val="clear" w:color="auto" w:fill="FFFFFF"/>
        <w:spacing w:after="0" w:line="240" w:lineRule="auto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№ 3 к Положению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исследовательском обществе учащихся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секций Республиканской конференции исследовательского общества учащихся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Русская литература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Мировая литература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Литература Приднестровья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Русский язык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Молдавский язык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Украинский язык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Молдавская литература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Украинская литература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Французский язык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Английский язык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Немецкий язык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Журналистика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Ботаника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Экология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Зоология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Генетика и селекция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Физиология человека и животных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 Химия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География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Краеведение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 Туризм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 Безопасность жизнедеятельности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23. Астрономия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24. Физика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25. Алгебра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26. Геометрия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27. Информатика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28. Правоведение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29. </w:t>
      </w:r>
      <w:proofErr w:type="spellStart"/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Государствоведение</w:t>
      </w:r>
      <w:proofErr w:type="spellEnd"/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30. История Приднестровья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31. История стран СНГ (Россия, Украина, Молдова)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32. История зарубежных стран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33. Этнография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34. Сельское хозяйство ПМР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35. Промышленность ПМР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36. Психология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37. Педагогика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38. Медицина и здоровье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39. Экономика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40. Физическая культура и спорт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41. Техническое творчество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42. Музыкальное искусство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43. Изобразительное искусство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44. Архитектура и строительные технологии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45. Народные традиции и современные направления декоративно-прикладного искусства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46. Технологические новшества в дизайн-проектах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47. Начальная военная подготовка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48. Основы православной культуры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49. Социология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50. Культура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51. Культурология стран изучаемого иностранного языка</w:t>
      </w:r>
    </w:p>
    <w:p w:rsidR="00D01596" w:rsidRPr="00283FD6" w:rsidRDefault="00D01596" w:rsidP="00283FD6">
      <w:pPr>
        <w:shd w:val="clear" w:color="auto" w:fill="FFFFFF"/>
        <w:spacing w:after="0" w:line="240" w:lineRule="auto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D01596" w:rsidRDefault="00D01596" w:rsidP="00283FD6">
      <w:pPr>
        <w:shd w:val="clear" w:color="auto" w:fill="FFFFFF"/>
        <w:spacing w:after="0" w:line="240" w:lineRule="auto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№ 4 к Положению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595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исследовательском обществе учащихся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оформлению и защите работ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Требования к оформлению работ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Работа предоставляется на бумажном и электронном носителях. Объем работы до 20 (двадцати) печатных страниц формата А4, за исключением приложений.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Работа, предоставленная на конференцию, должна содержать: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титульный лист;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оглавление;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в) введение;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основную часть (теоретическую и практическую главы);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заключение;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список использованных источников и литературы.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 должно включать в себя формулировку постановки проблемы, отражение актуальности темы, с профессиональной направленностью, определение целей и задач, поставленных перед исполнителем работы, степень изученности данного вопроса.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часть должна содержать информацию, собранную и обработанную автором, а именно: описание основных рассматриваемых фактов, характеристику методов решения проблемы, сравнение существующих методов решения, обоснование выбранного варианта решения (эффективность, точность, простота, наглядность, практическая значимость и так далее). Основная часть делится на главы (теоретическую и практическую).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заключении формулируются выводы и предложения по возможному практическому использованию результатов работы.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список литературы заносятся публикации, издания и источники, использованные автором. Информация о каждом издании должна включаться в строгой последовательности: фамилия, инициалы автора, название издания, выходные данные издательства, год издания, № выпуска (если издание периодическое), количество страниц. Все издания должны быть пронумерованы и расположены в порядке цитирования.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может содержать приложения с иллюстративным материалом (рисунки, видео, схемы, карты, таблицы, фотографии), который должен быть связан с основным содержанием.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Страницы нумеруются арабскими цифрами в нижнем колонтитуле по правому краю. Титульный лист включается в общую нумерацию работы. На титульном листе номер не ставится. Нумерация листов текста работы и приложений должна быть сквозной. Страницы, содержащие приложения, в общий объем работы не входят.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На титульном листе указывается организация образования, секция, тема работы, сведения об авторе Ф.И.О., класс, сведения о руководителе согласно Приложению № 1 к настоящим требованиям.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Параметры оформления: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размер (формат) бумаги - А 4;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поля: верхнее - 1 см, нижнее - 2 см, левое - 3 см, правое -1 см;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) </w:t>
      </w: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шрифт</w:t>
      </w: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- Times New Roman;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размер шрифта - 14;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красная строка - 1,5 см;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межстрочный интервал - 1,15;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 выравнивание по ширине.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Оформлять ссылки на соответствующий источник списка литературы следует в тексте в квадратных скобках (например: [1, с.234]) в порядке цитирования.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7. К исследовательской работе обязательно прикрепляется отзыв научного руководителя на работу согласно Приложению № 2 к настоящим требованиям.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Требования к защите работ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В своём выступлении каждый участник должен выделить и осветить следующие вопросы: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название работы;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цель работы;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актуальность темы работы;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постановка проблемы (задачи);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ход исследования;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выводы;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 информационные источники.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По окончании выступления докладчику задаются вопросы членами жюри. Время на защиту - не более 7 (семи) минут.</w:t>
      </w:r>
    </w:p>
    <w:p w:rsidR="00D01596" w:rsidRPr="00283FD6" w:rsidRDefault="00D01596" w:rsidP="00283FD6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283FD6" w:rsidRDefault="00D01596" w:rsidP="00283FD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1596" w:rsidRPr="00D01596" w:rsidRDefault="00D01596" w:rsidP="00283FD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№ 1 к Требованиям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 оформлению и защите работ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Министерство просвещения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Приднестровской Молдавской Республики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УНО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образования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Исследовательская работа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Секция: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 работы: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Ф.И.О., класс, школа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Научный руководитель: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Ф.И.О., должность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Город, год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№ 2 к Требованиям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оформлению и защите работ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Отзыв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исследовательскую работу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теме ______________________________________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Ф.И.О участника______________________________________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Ф.И.О руководителя___________________________________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ОТЗЫВА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"/>
      </w:tblGrid>
      <w:tr w:rsidR="00D01596" w:rsidRPr="00D01596" w:rsidTr="00D01596"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596" w:rsidRPr="00D01596" w:rsidTr="00D01596"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1596" w:rsidRPr="00D01596" w:rsidRDefault="00D01596" w:rsidP="0028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Выводы: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«____» _________20__ г.                      _______________</w:t>
      </w:r>
    </w:p>
    <w:p w:rsidR="00D01596" w:rsidRPr="00D01596" w:rsidRDefault="00D01596" w:rsidP="00283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15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 (подпись)</w:t>
      </w:r>
    </w:p>
    <w:p w:rsidR="007F15ED" w:rsidRPr="00D01596" w:rsidRDefault="007F15ED" w:rsidP="00283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15ED" w:rsidRPr="00D0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84"/>
    <w:rsid w:val="001A3A84"/>
    <w:rsid w:val="00283FD6"/>
    <w:rsid w:val="007F15ED"/>
    <w:rsid w:val="00935695"/>
    <w:rsid w:val="00D01596"/>
    <w:rsid w:val="00FB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96B99-6F06-4A7D-9489-932267B8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5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3802</Words>
  <Characters>21672</Characters>
  <Application>Microsoft Office Word</Application>
  <DocSecurity>0</DocSecurity>
  <Lines>180</Lines>
  <Paragraphs>50</Paragraphs>
  <ScaleCrop>false</ScaleCrop>
  <Company/>
  <LinksUpToDate>false</LinksUpToDate>
  <CharactersWithSpaces>25424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Глаголевская Наталья Александровна</dc:creator>
  <cp:keywords/>
  <dc:description/>
  <cp:lastModifiedBy>Глаголевская Наталья Александровна</cp:lastModifiedBy>
  <cp:revision>5</cp:revision>
  <dcterms:created xsi:type="dcterms:W3CDTF">2018-10-09T12:23:00Z</dcterms:created>
  <dcterms:modified xsi:type="dcterms:W3CDTF">2024-06-04T06:16:00Z</dcterms:modified>
</cp:coreProperties>
</file>