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B7" w:rsidRDefault="00D60A18" w:rsidP="001A33B7">
      <w:pPr>
        <w:shd w:val="clear" w:color="auto" w:fill="FFFFFF"/>
        <w:spacing w:after="0"/>
        <w:jc w:val="center"/>
        <w:rPr>
          <w:rFonts w:eastAsia="Times New Roman" w:cs="Times New Roman"/>
          <w:bCs/>
          <w:sz w:val="24"/>
          <w:szCs w:val="24"/>
          <w:lang w:eastAsia="ru-RU"/>
        </w:rPr>
      </w:pPr>
      <w:r w:rsidRPr="00D60A18">
        <w:rPr>
          <w:rFonts w:eastAsia="Times New Roman" w:cs="Times New Roman"/>
          <w:bCs/>
          <w:sz w:val="24"/>
          <w:szCs w:val="24"/>
          <w:lang w:eastAsia="ru-RU"/>
        </w:rPr>
        <w:t xml:space="preserve">Приказ </w:t>
      </w:r>
    </w:p>
    <w:p w:rsidR="001A33B7" w:rsidRDefault="00D60A18" w:rsidP="001A33B7">
      <w:pPr>
        <w:shd w:val="clear" w:color="auto" w:fill="FFFFFF"/>
        <w:spacing w:after="0"/>
        <w:jc w:val="center"/>
        <w:rPr>
          <w:rFonts w:eastAsia="Times New Roman" w:cs="Times New Roman"/>
          <w:bCs/>
          <w:sz w:val="24"/>
          <w:szCs w:val="24"/>
          <w:lang w:eastAsia="ru-RU"/>
        </w:rPr>
      </w:pPr>
      <w:r w:rsidRPr="00D60A18">
        <w:rPr>
          <w:rFonts w:eastAsia="Times New Roman" w:cs="Times New Roman"/>
          <w:bCs/>
          <w:sz w:val="24"/>
          <w:szCs w:val="24"/>
          <w:lang w:eastAsia="ru-RU"/>
        </w:rPr>
        <w:t xml:space="preserve">Министерства просвещения </w:t>
      </w:r>
    </w:p>
    <w:p w:rsidR="00D60A18" w:rsidRDefault="00D60A18" w:rsidP="001A33B7">
      <w:pPr>
        <w:shd w:val="clear" w:color="auto" w:fill="FFFFFF"/>
        <w:spacing w:after="0"/>
        <w:jc w:val="center"/>
        <w:rPr>
          <w:rFonts w:eastAsia="Times New Roman" w:cs="Times New Roman"/>
          <w:bCs/>
          <w:sz w:val="24"/>
          <w:szCs w:val="24"/>
          <w:lang w:eastAsia="ru-RU"/>
        </w:rPr>
      </w:pPr>
      <w:r w:rsidRPr="00D60A18">
        <w:rPr>
          <w:rFonts w:eastAsia="Times New Roman" w:cs="Times New Roman"/>
          <w:bCs/>
          <w:sz w:val="24"/>
          <w:szCs w:val="24"/>
          <w:lang w:eastAsia="ru-RU"/>
        </w:rPr>
        <w:t>Приднестровской Молдавской Республики</w:t>
      </w:r>
    </w:p>
    <w:p w:rsidR="00BD24B9" w:rsidRPr="00D60A18" w:rsidRDefault="00BD24B9" w:rsidP="001A33B7">
      <w:pPr>
        <w:shd w:val="clear" w:color="auto" w:fill="FFFFFF"/>
        <w:spacing w:after="0"/>
        <w:jc w:val="center"/>
        <w:rPr>
          <w:rFonts w:eastAsia="Times New Roman" w:cs="Times New Roman"/>
          <w:sz w:val="24"/>
          <w:szCs w:val="24"/>
          <w:lang w:eastAsia="ru-RU"/>
        </w:rPr>
      </w:pPr>
    </w:p>
    <w:p w:rsidR="007A0EB6" w:rsidRPr="00D60A18" w:rsidRDefault="007A0EB6" w:rsidP="007A0EB6">
      <w:pPr>
        <w:shd w:val="clear" w:color="auto" w:fill="FFFFFF"/>
        <w:spacing w:after="0"/>
        <w:jc w:val="both"/>
        <w:rPr>
          <w:rFonts w:eastAsia="Times New Roman" w:cs="Times New Roman"/>
          <w:sz w:val="24"/>
          <w:szCs w:val="24"/>
          <w:lang w:eastAsia="ru-RU"/>
        </w:rPr>
      </w:pPr>
      <w:r w:rsidRPr="00D60A18">
        <w:rPr>
          <w:rFonts w:eastAsia="Times New Roman" w:cs="Times New Roman"/>
          <w:sz w:val="24"/>
          <w:szCs w:val="24"/>
          <w:lang w:eastAsia="ru-RU"/>
        </w:rPr>
        <w:t>26 января 2022 г.</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D60A18">
        <w:rPr>
          <w:rFonts w:eastAsia="Times New Roman" w:cs="Times New Roman"/>
          <w:sz w:val="24"/>
          <w:szCs w:val="24"/>
          <w:lang w:eastAsia="ru-RU"/>
        </w:rPr>
        <w:t>№ 64</w:t>
      </w:r>
    </w:p>
    <w:p w:rsidR="001A33B7" w:rsidRDefault="001A33B7" w:rsidP="001A33B7">
      <w:pPr>
        <w:shd w:val="clear" w:color="auto" w:fill="FFFFFF"/>
        <w:spacing w:after="0"/>
        <w:jc w:val="center"/>
        <w:rPr>
          <w:rFonts w:eastAsia="Times New Roman" w:cs="Times New Roman"/>
          <w:sz w:val="24"/>
          <w:szCs w:val="24"/>
          <w:lang w:eastAsia="ru-RU"/>
        </w:rPr>
      </w:pPr>
    </w:p>
    <w:p w:rsidR="001A33B7" w:rsidRDefault="001A33B7" w:rsidP="001A33B7">
      <w:pPr>
        <w:shd w:val="clear" w:color="auto" w:fill="FFFFFF"/>
        <w:spacing w:after="0"/>
        <w:jc w:val="center"/>
        <w:rPr>
          <w:rFonts w:eastAsia="Times New Roman" w:cs="Times New Roman"/>
          <w:sz w:val="24"/>
          <w:szCs w:val="24"/>
          <w:lang w:eastAsia="ru-RU"/>
        </w:rPr>
      </w:pPr>
      <w:r>
        <w:rPr>
          <w:rFonts w:eastAsia="Times New Roman" w:cs="Times New Roman"/>
          <w:sz w:val="24"/>
          <w:szCs w:val="24"/>
          <w:lang w:eastAsia="ru-RU"/>
        </w:rPr>
        <w:t>«</w:t>
      </w:r>
      <w:r w:rsidR="00D60A18" w:rsidRPr="00D60A18">
        <w:rPr>
          <w:rFonts w:eastAsia="Times New Roman" w:cs="Times New Roman"/>
          <w:sz w:val="24"/>
          <w:szCs w:val="24"/>
          <w:lang w:eastAsia="ru-RU"/>
        </w:rPr>
        <w:t xml:space="preserve">Об утверждении и введении в действие Государственного образовательного стандарта послевузовского профессионального образования - ординатуры </w:t>
      </w:r>
    </w:p>
    <w:p w:rsidR="00D60A18" w:rsidRPr="00D60A18" w:rsidRDefault="00D60A18" w:rsidP="001A33B7">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по специальности 32.08.06 Коммунальная гигиена</w:t>
      </w:r>
      <w:r w:rsidR="001A33B7">
        <w:rPr>
          <w:rFonts w:eastAsia="Times New Roman" w:cs="Times New Roman"/>
          <w:sz w:val="24"/>
          <w:szCs w:val="24"/>
          <w:lang w:eastAsia="ru-RU"/>
        </w:rPr>
        <w:t>»</w:t>
      </w:r>
    </w:p>
    <w:p w:rsidR="001A33B7" w:rsidRDefault="001A33B7" w:rsidP="00D60A18">
      <w:pPr>
        <w:shd w:val="clear" w:color="auto" w:fill="FFFFFF"/>
        <w:spacing w:after="0"/>
        <w:ind w:firstLine="709"/>
        <w:jc w:val="both"/>
        <w:rPr>
          <w:rFonts w:eastAsia="Times New Roman" w:cs="Times New Roman"/>
          <w:sz w:val="24"/>
          <w:szCs w:val="24"/>
          <w:lang w:eastAsia="ru-RU"/>
        </w:rPr>
      </w:pPr>
    </w:p>
    <w:p w:rsidR="00FC05FD" w:rsidRPr="001B3044" w:rsidRDefault="00FC05FD" w:rsidP="00FC05FD">
      <w:pPr>
        <w:spacing w:after="0"/>
        <w:jc w:val="center"/>
        <w:rPr>
          <w:rFonts w:eastAsia="Times New Roman" w:cs="Times New Roman"/>
          <w:i/>
          <w:sz w:val="24"/>
          <w:szCs w:val="24"/>
          <w:lang w:eastAsia="ru-RU"/>
        </w:rPr>
      </w:pPr>
      <w:r w:rsidRPr="001B3044">
        <w:rPr>
          <w:rFonts w:eastAsia="Times New Roman" w:cs="Times New Roman"/>
          <w:i/>
          <w:sz w:val="24"/>
          <w:szCs w:val="24"/>
          <w:lang w:eastAsia="ru-RU"/>
        </w:rPr>
        <w:t>Текст ниже приведенной редакции подготовлен с учетом изменений</w:t>
      </w:r>
    </w:p>
    <w:p w:rsidR="00FC05FD" w:rsidRPr="001F2653" w:rsidRDefault="00FC05FD" w:rsidP="00FC05FD">
      <w:pPr>
        <w:spacing w:after="0"/>
        <w:jc w:val="center"/>
        <w:rPr>
          <w:rFonts w:eastAsia="Times New Roman" w:cs="Times New Roman"/>
          <w:i/>
          <w:sz w:val="24"/>
          <w:szCs w:val="24"/>
          <w:lang w:eastAsia="ru-RU"/>
        </w:rPr>
      </w:pPr>
      <w:r w:rsidRPr="001B3044">
        <w:rPr>
          <w:rFonts w:eastAsia="Times New Roman" w:cs="Times New Roman"/>
          <w:i/>
          <w:sz w:val="24"/>
          <w:szCs w:val="24"/>
          <w:lang w:eastAsia="ru-RU"/>
        </w:rPr>
        <w:t xml:space="preserve">от 28 июля 2022 года </w:t>
      </w:r>
      <w:r w:rsidRPr="001F2653">
        <w:rPr>
          <w:rFonts w:eastAsia="Times New Roman" w:cs="Times New Roman"/>
          <w:i/>
          <w:sz w:val="24"/>
          <w:szCs w:val="24"/>
          <w:lang w:eastAsia="ru-RU"/>
        </w:rPr>
        <w:t>№ 665</w:t>
      </w:r>
      <w:r w:rsidRPr="001B3044">
        <w:rPr>
          <w:rFonts w:eastAsia="Times New Roman" w:cs="Times New Roman"/>
          <w:i/>
          <w:sz w:val="24"/>
          <w:szCs w:val="24"/>
          <w:lang w:eastAsia="ru-RU"/>
        </w:rPr>
        <w:t xml:space="preserve">, от </w:t>
      </w:r>
      <w:r>
        <w:rPr>
          <w:rFonts w:eastAsia="Times New Roman" w:cs="Times New Roman"/>
          <w:i/>
          <w:sz w:val="24"/>
          <w:szCs w:val="24"/>
          <w:lang w:eastAsia="ru-RU"/>
        </w:rPr>
        <w:t xml:space="preserve">22 </w:t>
      </w:r>
      <w:r w:rsidRPr="001B3044">
        <w:rPr>
          <w:rFonts w:eastAsia="Times New Roman" w:cs="Times New Roman"/>
          <w:i/>
          <w:sz w:val="24"/>
          <w:szCs w:val="24"/>
          <w:lang w:eastAsia="ru-RU"/>
        </w:rPr>
        <w:t xml:space="preserve">мая 2024 года № </w:t>
      </w:r>
      <w:r>
        <w:rPr>
          <w:rFonts w:eastAsia="Times New Roman" w:cs="Times New Roman"/>
          <w:i/>
          <w:sz w:val="24"/>
          <w:szCs w:val="24"/>
          <w:lang w:eastAsia="ru-RU"/>
        </w:rPr>
        <w:t>503</w:t>
      </w:r>
    </w:p>
    <w:p w:rsidR="00FC05FD" w:rsidRDefault="00FC05FD"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13 апреля 2009 года № 721-З-IV «О высшем и послевузовском профессиональном образовании» (САЗ 09-16),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Постановлением Правительства Приднестровской Молдавской Республики от 30 мая 2016 года № 125 «Об утверждении Порядка разработки, утверждения государственных образовательных стандартов и внесения в них изменений» (САЗ 16-22), Приказом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(САЗ 18-4) с изменениями и дополнениями, внесенными приказами Министерства просвещения Приднестровской Молдавской Республики от 26 июля 2018 года № 698 (САЗ 18-32), от 9 октября 2019 года № 875 (САЗ 19-46), от 19 мая 2020 года № 450 (САЗ 20-23), приказываю: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Утвердить Государственный образовательный стандарт послевузовского профессионального образования - ординатуры по специальности 32.08.06 Коммунальная гигиена согласно Приложению к настоящему Приказу.</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Контроль за исполнением настоящего Приказа оставляю за собой.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Настоящий Приказ вступает в силу со дня, следующего за днем его официального опубликования.</w:t>
      </w:r>
    </w:p>
    <w:p w:rsidR="007A0EB6" w:rsidRDefault="007A0EB6" w:rsidP="007A0EB6">
      <w:pPr>
        <w:shd w:val="clear" w:color="auto" w:fill="FFFFFF"/>
        <w:spacing w:after="0"/>
        <w:jc w:val="both"/>
        <w:rPr>
          <w:rFonts w:eastAsia="Times New Roman" w:cs="Times New Roman"/>
          <w:bCs/>
          <w:sz w:val="24"/>
          <w:szCs w:val="24"/>
          <w:lang w:eastAsia="ru-RU"/>
        </w:rPr>
      </w:pPr>
    </w:p>
    <w:p w:rsidR="007A0EB6" w:rsidRDefault="007A0EB6" w:rsidP="007A0EB6">
      <w:pPr>
        <w:shd w:val="clear" w:color="auto" w:fill="FFFFFF"/>
        <w:spacing w:after="0"/>
        <w:jc w:val="both"/>
        <w:rPr>
          <w:rFonts w:eastAsia="Times New Roman" w:cs="Times New Roman"/>
          <w:bCs/>
          <w:sz w:val="24"/>
          <w:szCs w:val="24"/>
          <w:lang w:eastAsia="ru-RU"/>
        </w:rPr>
      </w:pPr>
    </w:p>
    <w:p w:rsidR="00D60A18" w:rsidRPr="00D60A18" w:rsidRDefault="00D60A18" w:rsidP="007A0EB6">
      <w:pPr>
        <w:shd w:val="clear" w:color="auto" w:fill="FFFFFF"/>
        <w:spacing w:after="0"/>
        <w:jc w:val="both"/>
        <w:rPr>
          <w:rFonts w:eastAsia="Times New Roman" w:cs="Times New Roman"/>
          <w:sz w:val="24"/>
          <w:szCs w:val="24"/>
          <w:lang w:eastAsia="ru-RU"/>
        </w:rPr>
      </w:pPr>
      <w:r w:rsidRPr="00D60A18">
        <w:rPr>
          <w:rFonts w:eastAsia="Times New Roman" w:cs="Times New Roman"/>
          <w:bCs/>
          <w:sz w:val="24"/>
          <w:szCs w:val="24"/>
          <w:lang w:eastAsia="ru-RU"/>
        </w:rPr>
        <w:t>Министр </w:t>
      </w:r>
      <w:r w:rsidRPr="00D60A18">
        <w:rPr>
          <w:rFonts w:eastAsia="Times New Roman" w:cs="Times New Roman"/>
          <w:sz w:val="24"/>
          <w:szCs w:val="24"/>
          <w:lang w:eastAsia="ru-RU"/>
        </w:rPr>
        <w:t>           </w:t>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t xml:space="preserve">     </w:t>
      </w:r>
      <w:r w:rsidRPr="00D60A18">
        <w:rPr>
          <w:rFonts w:eastAsia="Times New Roman" w:cs="Times New Roman"/>
          <w:bCs/>
          <w:sz w:val="24"/>
          <w:szCs w:val="24"/>
          <w:lang w:eastAsia="ru-RU"/>
        </w:rPr>
        <w:t>С.</w:t>
      </w:r>
      <w:r w:rsidR="007A0EB6">
        <w:rPr>
          <w:rFonts w:eastAsia="Times New Roman" w:cs="Times New Roman"/>
          <w:bCs/>
          <w:sz w:val="24"/>
          <w:szCs w:val="24"/>
          <w:lang w:eastAsia="ru-RU"/>
        </w:rPr>
        <w:t>Н.</w:t>
      </w:r>
      <w:r w:rsidRPr="00D60A18">
        <w:rPr>
          <w:rFonts w:eastAsia="Times New Roman" w:cs="Times New Roman"/>
          <w:bCs/>
          <w:sz w:val="24"/>
          <w:szCs w:val="24"/>
          <w:lang w:eastAsia="ru-RU"/>
        </w:rPr>
        <w:t> Иванишина</w:t>
      </w:r>
    </w:p>
    <w:p w:rsidR="007A0EB6" w:rsidRDefault="007A0EB6" w:rsidP="00D60A18">
      <w:pPr>
        <w:shd w:val="clear" w:color="auto" w:fill="FFFFFF"/>
        <w:spacing w:after="0"/>
        <w:ind w:firstLine="709"/>
        <w:jc w:val="both"/>
        <w:rPr>
          <w:rFonts w:eastAsia="Times New Roman" w:cs="Times New Roman"/>
          <w:sz w:val="24"/>
          <w:szCs w:val="24"/>
          <w:lang w:eastAsia="ru-RU"/>
        </w:rPr>
      </w:pPr>
    </w:p>
    <w:p w:rsidR="007A0EB6" w:rsidRDefault="007A0EB6"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lastRenderedPageBreak/>
        <w:t>Приложение</w:t>
      </w: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t>к Приказу Министерства просвещения</w:t>
      </w: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t>Приднестровской Молдавской Республики</w:t>
      </w: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t>от 26 января 2022 года № 64</w:t>
      </w:r>
    </w:p>
    <w:p w:rsidR="002616EA" w:rsidRDefault="002616EA"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Государственный образовательный стандарт</w:t>
      </w:r>
    </w:p>
    <w:p w:rsidR="002616EA"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 xml:space="preserve">послевузовского профессионального образования – ординатуры </w:t>
      </w: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по специальности 32.08.06 Коммунальная гигиена</w:t>
      </w:r>
    </w:p>
    <w:p w:rsidR="002616EA" w:rsidRPr="00D60A18" w:rsidRDefault="002616EA" w:rsidP="00D60A18">
      <w:pPr>
        <w:shd w:val="clear" w:color="auto" w:fill="FFFFFF"/>
        <w:spacing w:after="0"/>
        <w:ind w:firstLine="709"/>
        <w:jc w:val="both"/>
        <w:rPr>
          <w:rFonts w:eastAsia="Times New Roman" w:cs="Times New Roman"/>
          <w:sz w:val="24"/>
          <w:szCs w:val="24"/>
          <w:lang w:eastAsia="ru-RU"/>
        </w:rPr>
      </w:pP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1. Область применения</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Настоящий Государственный образовательный стандарт представляет собой совокупность требований, обязательных при реализации образовательной программы ординатуры по специальности 32.08.06 Коммунальная гигиена (далее соответственно - программа ординатуры, специальность).</w:t>
      </w:r>
    </w:p>
    <w:p w:rsidR="002616EA" w:rsidRDefault="002616EA" w:rsidP="00D60A18">
      <w:pPr>
        <w:shd w:val="clear" w:color="auto" w:fill="FFFFFF"/>
        <w:spacing w:after="0"/>
        <w:ind w:firstLine="709"/>
        <w:jc w:val="both"/>
        <w:rPr>
          <w:rFonts w:eastAsia="Times New Roman" w:cs="Times New Roman"/>
          <w:sz w:val="24"/>
          <w:szCs w:val="24"/>
          <w:lang w:eastAsia="ru-RU"/>
        </w:rPr>
      </w:pP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2. Используемые сокращения</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В настоящем Государственном образовательном стандарте используются следующие сокращения: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УК - универсальные компетенции;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ПК - профессиональные компетенции;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ГОС - государственный образовательный стандарт;</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г) сетевая форма - сетевая форма реализации образовательных программ;</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д) з.е – зачетная единица, которая соответствует 36 (тридцати шести) академическим часам или 27 (двадцати семи) астрономическим часам.</w:t>
      </w:r>
    </w:p>
    <w:p w:rsidR="002616EA" w:rsidRDefault="002616EA" w:rsidP="002616EA">
      <w:pPr>
        <w:shd w:val="clear" w:color="auto" w:fill="FFFFFF"/>
        <w:spacing w:after="0"/>
        <w:jc w:val="both"/>
        <w:rPr>
          <w:rFonts w:eastAsia="Times New Roman" w:cs="Times New Roman"/>
          <w:sz w:val="24"/>
          <w:szCs w:val="24"/>
          <w:lang w:eastAsia="ru-RU"/>
        </w:rPr>
      </w:pP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3. Характеристика специальности</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Обучение по программе ординатуры в организациях образования (далее – организация) осуществляется в очной форме.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Объем программы ординатуры составляет 120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Срок получения образования по программе ординатуры, включая каникулы, предоставляемые после прохождения итоговой государственной аттестации, вне зависимости от применяемых образовательных технологий, составляет 2 (два) года.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6. Объем программы ординатуры, реализуемый за 1 (один) учебный год, составляет 60 з.е. 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1 (один) год по сравнению со сроком, установленным для соответствующей формы обучения. Объем программы ординатуры за 1 (один) учебный год при обучении по индивидуальному учебному плану не может составлять более 75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7.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lastRenderedPageBreak/>
        <w:t>8. Реализация программы ординатуры возможна с использованием сетевой формы.</w:t>
      </w: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 xml:space="preserve">4. Характеристика профессиональной деятельности выпускников, </w:t>
      </w: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освоивших программу ординатуры</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9. Область профессиональной деятельности выпускников, освоивших программу ординатуры, включает охрану здоровья граждан в части обеспечения мер санитарно-эпидемиологического (профилактического) характера, направленных на санитарно-эпидемиологическое благополучие населения.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10. Объектами профессиональной деятельности выпускников, освоивших программу ординатуры, являются: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физические лица (далее - человек);</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среда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юридические лица, индивидуальные предприниматели;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г) совокупность средств и технологий, направленных на обеспечение санитарно-эпидемиологического благополучия населения, сохранение и улучшение его здоровья.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11. Виды профессиональной деятельности, к которым готовятся выпускники, освоившие программу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производственно-технологическая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психолого-педагогическая;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организационно-управленческая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12. Программа ординатуры направлена на освоение всех видов профессиональной деятельности, к которым готовится выпускник.</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13. Выпускник, освоивший программу ординатуры, готов решать следующие профессиональные задачи: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производственно-технологическая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осуществление контрольно-надзорных функций в сфере санитарно-эпидемиологического благополучия населения, направленных на обеспечение безопасной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проведение санитарно-противоэпидемических (профилактических) мероприятий, направленных на предупреждение возникновения инфекционных заболеваний и массовых неинфекционных заболеваний (отравлений);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проведение мероприятий, направленных на устранение или уменьшение вредного воздействия на человека факторов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проведение сбора и медико-статистического анализа информации о состоянии санитарно-эпидемиологической обстановки;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оценка состояния здоровья населения;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6) оценка состояния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7) проведение диагностических исследований различных групп населения, предусмотренных законодательством в сфере санитарно-эпидемиологического благополучия для обеспечения безопасной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психолого-педагогическая деятельность - гигиеническое воспитание и пропаганда здорового образа жизни;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организационно-управленческая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организация санитарно-противоэпидемических (профилактических) мероприятий, в том числе в условиях чрезвычайных ситуаций;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организация труда персонала в организациях и их структурных подразделениях, осуществляющих свою деятельность в целях обеспечения санитарно-эпидемиологического благополучия населения с учетом требований техники безопасности и охраны труда;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ведение документации, предусмотренной для обеспечения санитарно-эпидемиологического благополучия населения;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соблюдение основных требований информационной безопасности.</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5. Требования к результатам освоения программы ординатуры</w:t>
      </w:r>
    </w:p>
    <w:p w:rsidR="00FC2064" w:rsidRPr="00D60A18" w:rsidRDefault="00FC2064" w:rsidP="00FC2064">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14. В результате освоения программы ординатуры у выпускника должны быть сформированы универсальные и профессиональные компетенции.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15. Выпускник, освоивший программу ординатуры, должен обладать следующими универсальными компетенциями: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готовностью к абстрактному мышлению, анализу, синтезу - УК1;</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готовностью к управлению коллективом, толерантно воспринимать социальные, этнические, конфессиональные и культурные различия - УК2;</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16. Выпускник, освоивший программу ординатуры, должен обладать профессиональными компетенциями: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производственно-технологическая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 -ПК1;</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готовность к применению установленных санитарно-эпидемиологических требований к потенциально опасным для человека химическим, биологическим веществам и отдельным видам продукции - ПК2;</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готовность к применению установленных санитарно-эпидемиологических требований к планировке и застройке городских и сельских поселений - ПК3;</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готовность к применению установленных санитарно-эпидемиологических требований к водным объектам - ПК4;</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готовность к применению установленных санитарно-эпидемиологических требований к питьевой воде, а также к питьевому и хозяйственно-бытовому водоснабжению - ПК-5;</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6) готовность к применению установленных санитарно-эпидемиологических требований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 – ПК6;</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7) готовность к применению установленных санитарно-эпидемиологических требований к почвам, содержанию территорий городских и сельских поселений, промышленных площадок - ПК7;</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8) готовность к применению установленных санитарно-эпидемиологических требований к сбору, использованию, обезвреживанию, транспортировке, хранению и захоронению отходов производства и потребления - ПК8;</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9) готовность к применению установленных санитарно-эпидемиологических требований к жилым помещениям - ПК9;</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10) готовность к применению установленных санитарно-эпидемиологических требований к эксплуатации производственных, общественных помещений, зданий, сооружений, оборудования и транспорта - ПК10;</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11) готовность к применению специализированного оборудования, предусмотренного для использования в профессиональной сфере - ПК11;</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психолого-педагогическая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 - ПК12;</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 - ПК13;</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организационно-управленческая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lastRenderedPageBreak/>
        <w:t>1) готовность к использованию основ экономических и правовых знаний в профессиональной деятельности - ПК14;</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готовность к применению основных принципов управления в профессиональной сфере -ПК15;</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 -ПК16.</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17.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18.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19.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 (при наличии).</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6. Требования к структуре программы ординатуры</w:t>
      </w:r>
    </w:p>
    <w:p w:rsidR="00FC2064" w:rsidRPr="00D60A18" w:rsidRDefault="00FC2064" w:rsidP="00FC2064">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20. Структура программы ординатуры согласно Приложению к настоящему ГОС включает обязательную часть (базовую) и часть, формируемую участниками образовательных отношений (вариативную):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 18-32 з.е. (базовая часть: 14 - 24 з.е., вариативная часть: 4-9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Блок 2 «Практики», относящийся как к базовой части программы, так и к ее вариативной части: 85 - 99 з.е. (базовая часть: 78-84 з.е., вариативная часть: 7-15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Блок 3 «Итоговая государственная аттестация», который в полном объеме относится к базовой части программы и завершается присвоением квалификации «Врач по коммунальной гигиене»: 3 з.е. (базовая часть: 3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21. Общий объем образовательной программы ординатуры составляет 120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22.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ГОС, с учетом соответствующей (соответствующих) примерной (примерных) основной (основных) образовательной (образовательных) программы (программ) (при наличии).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23.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24.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25. 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ГОС. После выбора обучающимся дисциплин (модулей) и практик вариативной части они становятся обязательными для освоения обучающимся.</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lastRenderedPageBreak/>
        <w:t>26. В Блок 2 «Практики» входит производственная (клиническая) практика. Способы проведения производственной (клинической) практики:</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а) стационарная;</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б) выездная.</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Практика реализуется в медицинских организациях, являющихся клиническими (учебными) базами, на основании заключенного договора между организацией образования и медицинской организацией, путем участия ординатора в оказании медицинской помощи гражданам в соответствии с программой ординатуры под контролем медицинского персонала, несущего ответственность за их профессиональную подготовку.</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Для лиц с ограниченными возможностями здоровья выбор мест прохождения практик должен учитывать состояние здоровья и требования по доступност</w:t>
      </w:r>
      <w:r>
        <w:rPr>
          <w:rFonts w:eastAsia="Times New Roman" w:cs="Times New Roman"/>
          <w:sz w:val="24"/>
          <w:szCs w:val="24"/>
          <w:lang w:eastAsia="ru-RU"/>
        </w:rPr>
        <w:t>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27. В Блок 3 «Итоговая государственная аттестация» входит подготовка и сдача государственного экзамена.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 xml:space="preserve">29. Количество часов, отведенных на занятия лекционного типа в целом по Блоку 1 «Дисциплины (модули)» должно составлять не </w:t>
      </w:r>
      <w:r w:rsidR="00D609F3">
        <w:rPr>
          <w:rFonts w:eastAsia="Times New Roman" w:cs="Times New Roman"/>
          <w:sz w:val="24"/>
          <w:szCs w:val="24"/>
          <w:lang w:eastAsia="ru-RU"/>
        </w:rPr>
        <w:t>менее</w:t>
      </w:r>
      <w:bookmarkStart w:id="0" w:name="_GoBack"/>
      <w:bookmarkEnd w:id="0"/>
      <w:r w:rsidRPr="00D60A18">
        <w:rPr>
          <w:rFonts w:eastAsia="Times New Roman" w:cs="Times New Roman"/>
          <w:sz w:val="24"/>
          <w:szCs w:val="24"/>
          <w:lang w:eastAsia="ru-RU"/>
        </w:rPr>
        <w:t xml:space="preserve"> 15 процентов от общего количества часов аудиторных занятий, отведенных на реализацию данного Блока.</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7. Требования к условиям реализации программ ординатуры</w:t>
      </w:r>
    </w:p>
    <w:p w:rsidR="00FC2064" w:rsidRPr="00D60A18" w:rsidRDefault="00FC2064" w:rsidP="00FC2064">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30. Общесистемные требования к реализации программы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Электронно-библиотечная система (электронная библиотека) и электронная информационно-образовательная среда должна обеспечивать возможность доступа обучающегося из любой точки, в которой имеется доступ к глобальной сети Интернет (далее - сеть Интернет), как на территории организации, так и вне ее.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Электронная информационно-образовательная среда организации должна обеспечивать: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фиксацию хода образовательного процесса, результатов промежуточной аттестации и результатов освоения основной образовательной программы;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lastRenderedPageBreak/>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г)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D55B01"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 xml:space="preserve">д) </w:t>
      </w:r>
      <w:r w:rsidR="00D55B01" w:rsidRPr="00D55B01">
        <w:rPr>
          <w:rFonts w:eastAsia="Times New Roman" w:cs="Times New Roman"/>
          <w:sz w:val="24"/>
          <w:szCs w:val="24"/>
          <w:lang w:eastAsia="ru-RU"/>
        </w:rPr>
        <w:t>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работникам образования, согласно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w:t>
      </w:r>
      <w:r w:rsidR="00FA758A">
        <w:rPr>
          <w:rFonts w:eastAsia="Times New Roman" w:cs="Times New Roman"/>
          <w:sz w:val="24"/>
          <w:szCs w:val="24"/>
          <w:lang w:eastAsia="ru-RU"/>
        </w:rPr>
        <w:t>»</w:t>
      </w:r>
      <w:r w:rsidR="00D55B01" w:rsidRPr="00D55B01">
        <w:rPr>
          <w:rFonts w:eastAsia="Times New Roman" w:cs="Times New Roman"/>
          <w:sz w:val="24"/>
          <w:szCs w:val="24"/>
          <w:lang w:eastAsia="ru-RU"/>
        </w:rPr>
        <w:t>;</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31. Требования к кадровым условиям реализации программ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Приднестровской Молдавской Республики) и (или) ученое звание (в том числе ученое звание, полученное за рубежом и признаваемое в Приднестровской Молдавской Республики), и (или) имеющих высшую профессиональную категорию врача-специалиста в общем числе научно-педагогических работников, реализующих программу ор</w:t>
      </w:r>
      <w:r w:rsidR="002E41D6">
        <w:rPr>
          <w:rFonts w:eastAsia="Times New Roman" w:cs="Times New Roman"/>
          <w:sz w:val="24"/>
          <w:szCs w:val="24"/>
          <w:lang w:eastAsia="ru-RU"/>
        </w:rPr>
        <w:t>динатуры, должна быть не менее 5</w:t>
      </w:r>
      <w:r w:rsidRPr="00D60A18">
        <w:rPr>
          <w:rFonts w:eastAsia="Times New Roman" w:cs="Times New Roman"/>
          <w:sz w:val="24"/>
          <w:szCs w:val="24"/>
          <w:lang w:eastAsia="ru-RU"/>
        </w:rPr>
        <w:t>5 процентов.</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32.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лаборатории, оснащенные специализированным оборудованием (микроскоп, термостат, набор химической посуды, массоизмерительное оборудование, актинометр, анализатор нитратов и нитритов, ареометр, бокс-штатив, вискозиметр, газоанализатор, груша резиновая, дейонизатор, диспенсор, дистиллятор, дозатор с наконечниками, измеритель электромагнитных полей, кислородомер, колориметр, pH-метр, кондуктометр, люксметр, мерная пипетка, метеоскоп, пикнометр, пирометр, поляриметр, принадлежность для забора биоматериала и смывов с поверхности, пробоотборник, пылемер, радиометр радона, радиометр ультрафиолетовый, рефрактометр, спектрофотометр, счетчикаэрозольных частиц, счетчик аэроионов, термоанемометр, термогигрометр с черной сферой, термолюминесцентный дозиметр, фотоэлектроколориметр, шумомер, электроаспиратор, эталонный ультрафиолетовый излучатель)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lastRenderedPageBreak/>
        <w:t>В случае применения электронного обучения, дистанционных образовательных технологий применяется соответствующее программное обеспечение, позволяющее обучающимся осваивать умения и навыки, предусмотренные профессиональной деятельностью.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33. Организация должна быть обеспечена необходимым комплектом программного обеспечения (состав определяется в рабочих программах дисциплин (модулей) и подлежит ежегодному обновлению):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lastRenderedPageBreak/>
        <w:t>Приложение</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к Государственному образовательному</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стандарту послевузовского профессионального</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образования – ординатуры по специальности</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32.08.06 Коммунальная гигиена</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Структура программы ординатуры</w:t>
      </w:r>
    </w:p>
    <w:p w:rsidR="00755C73" w:rsidRPr="00D60A18" w:rsidRDefault="00755C73" w:rsidP="00FC2064">
      <w:pPr>
        <w:shd w:val="clear" w:color="auto" w:fill="FFFFFF"/>
        <w:spacing w:after="0"/>
        <w:jc w:val="center"/>
        <w:rPr>
          <w:rFonts w:eastAsia="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2"/>
        <w:gridCol w:w="4253"/>
        <w:gridCol w:w="3773"/>
      </w:tblGrid>
      <w:tr w:rsidR="00D60A18" w:rsidRPr="00D60A18" w:rsidTr="00D60A18">
        <w:tc>
          <w:tcPr>
            <w:tcW w:w="644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C2064">
            <w:pPr>
              <w:spacing w:after="0"/>
              <w:jc w:val="center"/>
              <w:rPr>
                <w:rFonts w:eastAsia="Times New Roman" w:cs="Times New Roman"/>
                <w:sz w:val="24"/>
                <w:szCs w:val="24"/>
                <w:lang w:eastAsia="ru-RU"/>
              </w:rPr>
            </w:pPr>
            <w:r w:rsidRPr="00D60A18">
              <w:rPr>
                <w:rFonts w:eastAsia="Times New Roman" w:cs="Times New Roman"/>
                <w:sz w:val="24"/>
                <w:szCs w:val="24"/>
                <w:lang w:eastAsia="ru-RU"/>
              </w:rPr>
              <w:t>Структура программы ординатуры</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C2064">
            <w:pPr>
              <w:spacing w:after="0"/>
              <w:jc w:val="center"/>
              <w:rPr>
                <w:rFonts w:eastAsia="Times New Roman" w:cs="Times New Roman"/>
                <w:sz w:val="24"/>
                <w:szCs w:val="24"/>
                <w:lang w:eastAsia="ru-RU"/>
              </w:rPr>
            </w:pPr>
            <w:r w:rsidRPr="00D60A18">
              <w:rPr>
                <w:rFonts w:eastAsia="Times New Roman" w:cs="Times New Roman"/>
                <w:sz w:val="24"/>
                <w:szCs w:val="24"/>
                <w:lang w:eastAsia="ru-RU"/>
              </w:rPr>
              <w:t>Объём программы ординатуры в з.е.</w:t>
            </w:r>
          </w:p>
        </w:tc>
      </w:tr>
      <w:tr w:rsidR="00D60A18" w:rsidRPr="00D60A18" w:rsidTr="00D60A18">
        <w:tc>
          <w:tcPr>
            <w:tcW w:w="18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C2064">
            <w:pPr>
              <w:spacing w:after="0"/>
              <w:ind w:left="112"/>
              <w:jc w:val="both"/>
              <w:rPr>
                <w:rFonts w:eastAsia="Times New Roman" w:cs="Times New Roman"/>
                <w:sz w:val="24"/>
                <w:szCs w:val="24"/>
                <w:lang w:eastAsia="ru-RU"/>
              </w:rPr>
            </w:pPr>
            <w:r w:rsidRPr="00D60A18">
              <w:rPr>
                <w:rFonts w:eastAsia="Times New Roman" w:cs="Times New Roman"/>
                <w:sz w:val="24"/>
                <w:szCs w:val="24"/>
                <w:lang w:eastAsia="ru-RU"/>
              </w:rPr>
              <w:t>Блок 1</w:t>
            </w: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Дисциплины (модули)</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18-32</w:t>
            </w:r>
          </w:p>
        </w:tc>
      </w:tr>
      <w:tr w:rsidR="00D60A18" w:rsidRPr="00D60A18" w:rsidTr="00D60A1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Базовая часть</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14-24</w:t>
            </w:r>
          </w:p>
        </w:tc>
      </w:tr>
      <w:tr w:rsidR="00D60A18" w:rsidRPr="00D60A18" w:rsidTr="00D60A1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Вариативная часть</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4-9</w:t>
            </w:r>
          </w:p>
        </w:tc>
      </w:tr>
      <w:tr w:rsidR="00D60A18" w:rsidRPr="00D60A18" w:rsidTr="00D60A1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Практики</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85-99</w:t>
            </w:r>
          </w:p>
        </w:tc>
      </w:tr>
      <w:tr w:rsidR="00D60A18" w:rsidRPr="00D60A18" w:rsidTr="00D60A1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Базовая часть</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78-84</w:t>
            </w:r>
          </w:p>
        </w:tc>
      </w:tr>
      <w:tr w:rsidR="00D60A18" w:rsidRPr="00D60A18" w:rsidTr="00D60A1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Вариативная часть</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7-15</w:t>
            </w:r>
          </w:p>
        </w:tc>
      </w:tr>
      <w:tr w:rsidR="00D60A18" w:rsidRPr="00D60A18" w:rsidTr="00D60A1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Итоговая государственная аттестация</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3</w:t>
            </w:r>
          </w:p>
        </w:tc>
      </w:tr>
      <w:tr w:rsidR="00D60A18" w:rsidRPr="00D60A18" w:rsidTr="00D60A1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Базовая часть</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3</w:t>
            </w:r>
          </w:p>
        </w:tc>
      </w:tr>
      <w:tr w:rsidR="00D60A18" w:rsidRPr="00D60A18" w:rsidTr="00D60A18">
        <w:tc>
          <w:tcPr>
            <w:tcW w:w="644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112"/>
              <w:jc w:val="both"/>
              <w:rPr>
                <w:rFonts w:eastAsia="Times New Roman" w:cs="Times New Roman"/>
                <w:sz w:val="24"/>
                <w:szCs w:val="24"/>
                <w:lang w:eastAsia="ru-RU"/>
              </w:rPr>
            </w:pPr>
            <w:r w:rsidRPr="00D60A18">
              <w:rPr>
                <w:rFonts w:eastAsia="Times New Roman" w:cs="Times New Roman"/>
                <w:sz w:val="24"/>
                <w:szCs w:val="24"/>
                <w:lang w:eastAsia="ru-RU"/>
              </w:rPr>
              <w:t>Объём программы ординатуры</w:t>
            </w:r>
          </w:p>
        </w:tc>
        <w:tc>
          <w:tcPr>
            <w:tcW w:w="3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120</w:t>
            </w:r>
          </w:p>
        </w:tc>
      </w:tr>
    </w:tbl>
    <w:p w:rsidR="00F12C76" w:rsidRPr="00D60A18" w:rsidRDefault="00F12C76" w:rsidP="00D60A18">
      <w:pPr>
        <w:spacing w:after="0"/>
        <w:ind w:firstLine="709"/>
        <w:jc w:val="both"/>
        <w:rPr>
          <w:rFonts w:cs="Times New Roman"/>
          <w:sz w:val="24"/>
          <w:szCs w:val="24"/>
        </w:rPr>
      </w:pPr>
    </w:p>
    <w:sectPr w:rsidR="00F12C76" w:rsidRPr="00D60A18" w:rsidSect="001A33B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15" w:rsidRDefault="006B7415" w:rsidP="00F27A12">
      <w:pPr>
        <w:spacing w:after="0"/>
      </w:pPr>
      <w:r>
        <w:separator/>
      </w:r>
    </w:p>
  </w:endnote>
  <w:endnote w:type="continuationSeparator" w:id="0">
    <w:p w:rsidR="006B7415" w:rsidRDefault="006B7415" w:rsidP="00F27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15" w:rsidRDefault="006B7415" w:rsidP="00F27A12">
      <w:pPr>
        <w:spacing w:after="0"/>
      </w:pPr>
      <w:r>
        <w:separator/>
      </w:r>
    </w:p>
  </w:footnote>
  <w:footnote w:type="continuationSeparator" w:id="0">
    <w:p w:rsidR="006B7415" w:rsidRDefault="006B7415" w:rsidP="00F27A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CA"/>
    <w:rsid w:val="001A33B7"/>
    <w:rsid w:val="002616EA"/>
    <w:rsid w:val="002E41D6"/>
    <w:rsid w:val="0063563F"/>
    <w:rsid w:val="006B7415"/>
    <w:rsid w:val="006C0B77"/>
    <w:rsid w:val="00755C73"/>
    <w:rsid w:val="007A0EB6"/>
    <w:rsid w:val="008242FF"/>
    <w:rsid w:val="00870751"/>
    <w:rsid w:val="008F2AF7"/>
    <w:rsid w:val="00922C48"/>
    <w:rsid w:val="0099342B"/>
    <w:rsid w:val="00B321D0"/>
    <w:rsid w:val="00B915B7"/>
    <w:rsid w:val="00BD24B9"/>
    <w:rsid w:val="00CB4ACA"/>
    <w:rsid w:val="00D55B01"/>
    <w:rsid w:val="00D609F3"/>
    <w:rsid w:val="00D60A18"/>
    <w:rsid w:val="00E770F3"/>
    <w:rsid w:val="00EA59DF"/>
    <w:rsid w:val="00EE4070"/>
    <w:rsid w:val="00EF49C1"/>
    <w:rsid w:val="00F12C76"/>
    <w:rsid w:val="00F27A12"/>
    <w:rsid w:val="00F52B50"/>
    <w:rsid w:val="00FA758A"/>
    <w:rsid w:val="00FC05FD"/>
    <w:rsid w:val="00FC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2AD4"/>
  <w15:chartTrackingRefBased/>
  <w15:docId w15:val="{0B766C1D-277F-48FE-ADA8-C12B9FDF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6EA"/>
    <w:pPr>
      <w:ind w:left="720"/>
      <w:contextualSpacing/>
    </w:pPr>
  </w:style>
  <w:style w:type="paragraph" w:styleId="a4">
    <w:name w:val="header"/>
    <w:basedOn w:val="a"/>
    <w:link w:val="a5"/>
    <w:uiPriority w:val="99"/>
    <w:unhideWhenUsed/>
    <w:rsid w:val="00F27A12"/>
    <w:pPr>
      <w:tabs>
        <w:tab w:val="center" w:pos="4677"/>
        <w:tab w:val="right" w:pos="9355"/>
      </w:tabs>
      <w:spacing w:after="0"/>
    </w:pPr>
  </w:style>
  <w:style w:type="character" w:customStyle="1" w:styleId="a5">
    <w:name w:val="Верхний колонтитул Знак"/>
    <w:basedOn w:val="a0"/>
    <w:link w:val="a4"/>
    <w:uiPriority w:val="99"/>
    <w:rsid w:val="00F27A12"/>
    <w:rPr>
      <w:rFonts w:ascii="Times New Roman" w:hAnsi="Times New Roman"/>
      <w:sz w:val="28"/>
    </w:rPr>
  </w:style>
  <w:style w:type="paragraph" w:styleId="a6">
    <w:name w:val="footer"/>
    <w:basedOn w:val="a"/>
    <w:link w:val="a7"/>
    <w:uiPriority w:val="99"/>
    <w:unhideWhenUsed/>
    <w:rsid w:val="00F27A12"/>
    <w:pPr>
      <w:tabs>
        <w:tab w:val="center" w:pos="4677"/>
        <w:tab w:val="right" w:pos="9355"/>
      </w:tabs>
      <w:spacing w:after="0"/>
    </w:pPr>
  </w:style>
  <w:style w:type="character" w:customStyle="1" w:styleId="a7">
    <w:name w:val="Нижний колонтитул Знак"/>
    <w:basedOn w:val="a0"/>
    <w:link w:val="a6"/>
    <w:uiPriority w:val="99"/>
    <w:rsid w:val="00F27A1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2162">
      <w:bodyDiv w:val="1"/>
      <w:marLeft w:val="0"/>
      <w:marRight w:val="0"/>
      <w:marTop w:val="0"/>
      <w:marBottom w:val="0"/>
      <w:divBdr>
        <w:top w:val="none" w:sz="0" w:space="0" w:color="auto"/>
        <w:left w:val="none" w:sz="0" w:space="0" w:color="auto"/>
        <w:bottom w:val="none" w:sz="0" w:space="0" w:color="auto"/>
        <w:right w:val="none" w:sz="0" w:space="0" w:color="auto"/>
      </w:divBdr>
      <w:divsChild>
        <w:div w:id="105461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8AE3-F815-4DF1-88FD-A341B890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Фурдуй Людмила Григорьевна</dc:creator>
  <cp:keywords/>
  <dc:description/>
  <cp:lastModifiedBy>Фурдуй Людмила Григорьевна</cp:lastModifiedBy>
  <cp:revision>15</cp:revision>
  <dcterms:created xsi:type="dcterms:W3CDTF">2024-06-19T08:17:00Z</dcterms:created>
  <dcterms:modified xsi:type="dcterms:W3CDTF">2024-06-19T08:57:00Z</dcterms:modified>
</cp:coreProperties>
</file>