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 xml:space="preserve">Приказ </w:t>
      </w:r>
    </w:p>
    <w:p w:rsid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 xml:space="preserve">Министерства просвещения </w:t>
      </w:r>
    </w:p>
    <w:p w:rsid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7015AA" w:rsidRDefault="007015AA" w:rsidP="007015A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7015A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26 января 2022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7015AA">
        <w:rPr>
          <w:rFonts w:eastAsia="Times New Roman" w:cs="Times New Roman"/>
          <w:sz w:val="24"/>
          <w:szCs w:val="24"/>
          <w:lang w:eastAsia="ru-RU"/>
        </w:rPr>
        <w:t>№ 55</w:t>
      </w:r>
    </w:p>
    <w:p w:rsid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7015AA" w:rsidRP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7015AA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7015AA" w:rsidRP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по специальности 31.08.05 Клиническая лабораторная диагностика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7015AA" w:rsidRPr="001B3044" w:rsidRDefault="007015AA" w:rsidP="007015A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7015AA" w:rsidRPr="001F2653" w:rsidRDefault="007015AA" w:rsidP="007015A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="001472E0">
        <w:rPr>
          <w:rFonts w:eastAsia="Times New Roman" w:cs="Times New Roman"/>
          <w:i/>
          <w:sz w:val="24"/>
          <w:szCs w:val="24"/>
          <w:lang w:eastAsia="ru-RU"/>
        </w:rPr>
        <w:t>,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3478AB">
        <w:rPr>
          <w:rFonts w:eastAsia="Times New Roman" w:cs="Times New Roman"/>
          <w:i/>
          <w:sz w:val="24"/>
          <w:szCs w:val="24"/>
          <w:lang w:eastAsia="ru-RU"/>
        </w:rPr>
        <w:t>10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мая 2024 года № </w:t>
      </w:r>
      <w:r w:rsidR="003478AB">
        <w:rPr>
          <w:rFonts w:eastAsia="Times New Roman" w:cs="Times New Roman"/>
          <w:i/>
          <w:sz w:val="24"/>
          <w:szCs w:val="24"/>
          <w:lang w:eastAsia="ru-RU"/>
        </w:rPr>
        <w:t>453</w:t>
      </w:r>
      <w:r w:rsidR="001472E0">
        <w:rPr>
          <w:rFonts w:eastAsia="Times New Roman" w:cs="Times New Roman"/>
          <w:i/>
          <w:sz w:val="24"/>
          <w:szCs w:val="24"/>
          <w:lang w:eastAsia="ru-RU"/>
        </w:rPr>
        <w:t>, 13 января 2025 г.</w:t>
      </w:r>
      <w:r w:rsidR="00EA1069">
        <w:rPr>
          <w:rFonts w:eastAsia="Times New Roman" w:cs="Times New Roman"/>
          <w:i/>
          <w:sz w:val="24"/>
          <w:szCs w:val="24"/>
          <w:lang w:eastAsia="ru-RU"/>
        </w:rPr>
        <w:t xml:space="preserve"> № 16</w:t>
      </w:r>
    </w:p>
    <w:p w:rsidR="007015AA" w:rsidRPr="007015AA" w:rsidRDefault="007015AA" w:rsidP="007015AA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7015AA" w:rsidRPr="007015AA" w:rsidRDefault="007015AA" w:rsidP="007015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7015AA" w:rsidRPr="007015AA" w:rsidRDefault="007015AA" w:rsidP="007015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31.08.05 Клиническая лабораторная диагностика согласно </w:t>
      </w:r>
      <w:proofErr w:type="gramStart"/>
      <w:r w:rsidRPr="007015AA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7015AA" w:rsidRPr="007015AA" w:rsidRDefault="007015AA" w:rsidP="007015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015AA" w:rsidRPr="007015AA" w:rsidRDefault="007015AA" w:rsidP="007015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7015AA" w:rsidRPr="007015AA" w:rsidRDefault="007015AA" w:rsidP="007015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7015AA" w:rsidRDefault="007015AA" w:rsidP="007015AA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90D7D" w:rsidRDefault="00C90D7D" w:rsidP="007015AA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7015AA" w:rsidRPr="007015AA" w:rsidRDefault="007015AA" w:rsidP="007015A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bCs/>
          <w:sz w:val="24"/>
          <w:szCs w:val="24"/>
          <w:lang w:eastAsia="ru-RU"/>
        </w:rPr>
        <w:t>Министр </w:t>
      </w:r>
      <w:r w:rsidRPr="007015AA">
        <w:rPr>
          <w:rFonts w:eastAsia="Times New Roman" w:cs="Times New Roman"/>
          <w:sz w:val="24"/>
          <w:szCs w:val="24"/>
          <w:lang w:eastAsia="ru-RU"/>
        </w:rPr>
        <w:t>            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</w:t>
      </w:r>
      <w:r w:rsidRPr="007015AA">
        <w:rPr>
          <w:rFonts w:eastAsia="Times New Roman" w:cs="Times New Roman"/>
          <w:bCs/>
          <w:sz w:val="24"/>
          <w:szCs w:val="24"/>
          <w:lang w:eastAsia="ru-RU"/>
        </w:rPr>
        <w:t>С.Н. Иванишина</w:t>
      </w:r>
    </w:p>
    <w:p w:rsidR="007015AA" w:rsidRDefault="007015AA" w:rsidP="007015AA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7015AA" w:rsidRDefault="007015AA" w:rsidP="007015AA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7015AA" w:rsidRDefault="007015AA" w:rsidP="007015AA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7015AA" w:rsidRDefault="007015AA" w:rsidP="007015AA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015AA" w:rsidRPr="007015AA" w:rsidRDefault="007015AA" w:rsidP="001B1435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7015AA" w:rsidRPr="007015AA" w:rsidRDefault="007015AA" w:rsidP="001B1435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7015AA" w:rsidRPr="007015AA" w:rsidRDefault="007015AA" w:rsidP="001B1435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от 26 января 2022 года № 55</w:t>
      </w:r>
    </w:p>
    <w:p w:rsidR="001B1435" w:rsidRDefault="001B1435" w:rsidP="001B143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послевузовского профессионального образования – ординатуры по специальности 31.08.05 Клиническая лабораторная диагностика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31.08.05Клиническая лабораторная диагностика (далее соответственно - программа ординатуры, специальность).</w:t>
      </w:r>
    </w:p>
    <w:p w:rsidR="001B1435" w:rsidRDefault="001B1435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1B1435" w:rsidRDefault="001B1435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>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1B1435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население;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в) психолого-педагогическая;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г) организационно-управленческая.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- диагностика заболеваний и патологических состояний пациентов на основе владения лабораторными методами исследования;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г) организационно-управленческая деятельность: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3) организация проведения медицинской экспертизы;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1B1435" w:rsidRDefault="001B1435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2) готовность к применению диагностических клинико-лабораторных методов исследований и интерпретации их результатов - ПК6;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ПК7;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г) организационно-управленческая деятельность: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ПК8;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ПК9;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ПК10.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1B1435" w:rsidRDefault="001B1435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20. Структура программы ординатуры согласно </w:t>
      </w:r>
      <w:proofErr w:type="gramStart"/>
      <w:r w:rsidRPr="007015AA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. (базовая часть: 14 - 24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>.);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Блок 2 «Практики», относящийся к базо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EA248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EA2489">
        <w:rPr>
          <w:rFonts w:eastAsia="Times New Roman" w:cs="Times New Roman"/>
          <w:sz w:val="24"/>
          <w:szCs w:val="24"/>
          <w:lang w:eastAsia="ru-RU"/>
        </w:rPr>
        <w:t>.</w:t>
      </w:r>
      <w:r w:rsidRPr="007015AA">
        <w:rPr>
          <w:rFonts w:eastAsia="Times New Roman" w:cs="Times New Roman"/>
          <w:sz w:val="24"/>
          <w:szCs w:val="24"/>
          <w:lang w:eastAsia="ru-RU"/>
        </w:rPr>
        <w:t>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«Врач-клинической лабораторной диагностики»: 3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>.).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>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97348D" w:rsidRPr="0097348D" w:rsidRDefault="0097348D" w:rsidP="0097348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348D">
        <w:rPr>
          <w:rFonts w:eastAsia="Times New Roman" w:cs="Times New Roman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97348D" w:rsidRPr="0097348D" w:rsidRDefault="0097348D" w:rsidP="0097348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348D">
        <w:rPr>
          <w:rFonts w:eastAsia="Times New Roman" w:cs="Times New Roman"/>
          <w:sz w:val="24"/>
          <w:szCs w:val="24"/>
          <w:lang w:eastAsia="ru-RU"/>
        </w:rPr>
        <w:t>а) стационарная;</w:t>
      </w:r>
    </w:p>
    <w:p w:rsidR="0097348D" w:rsidRPr="0097348D" w:rsidRDefault="0097348D" w:rsidP="0097348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348D">
        <w:rPr>
          <w:rFonts w:eastAsia="Times New Roman" w:cs="Times New Roman"/>
          <w:sz w:val="24"/>
          <w:szCs w:val="24"/>
          <w:lang w:eastAsia="ru-RU"/>
        </w:rPr>
        <w:t>б) выездная.</w:t>
      </w:r>
    </w:p>
    <w:p w:rsidR="0097348D" w:rsidRPr="0097348D" w:rsidRDefault="0097348D" w:rsidP="0097348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348D">
        <w:rPr>
          <w:rFonts w:eastAsia="Times New Roman" w:cs="Times New Roman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97348D" w:rsidRPr="0097348D" w:rsidRDefault="0097348D" w:rsidP="0097348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348D">
        <w:rPr>
          <w:rFonts w:eastAsia="Times New Roman" w:cs="Times New Roman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</w:t>
      </w:r>
      <w:r>
        <w:rPr>
          <w:rFonts w:eastAsia="Times New Roman" w:cs="Times New Roman"/>
          <w:sz w:val="24"/>
          <w:szCs w:val="24"/>
          <w:lang w:eastAsia="ru-RU"/>
        </w:rPr>
        <w:t>я и требования по доступности.</w:t>
      </w:r>
    </w:p>
    <w:p w:rsidR="0097348D" w:rsidRDefault="0097348D" w:rsidP="009734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27. В Блок 3 «Итоговая государственная аттестация» входит подготовка и сдача государственного экзамена.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E84530">
        <w:rPr>
          <w:rFonts w:eastAsia="Times New Roman" w:cs="Times New Roman"/>
          <w:sz w:val="24"/>
          <w:szCs w:val="24"/>
          <w:lang w:eastAsia="ru-RU"/>
        </w:rPr>
        <w:t xml:space="preserve">менее </w:t>
      </w:r>
      <w:r w:rsidRPr="007015AA">
        <w:rPr>
          <w:rFonts w:eastAsia="Times New Roman" w:cs="Times New Roman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1B1435" w:rsidRDefault="001B1435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1B1435" w:rsidRPr="007015AA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7015AA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10903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д) </w:t>
      </w:r>
      <w:r w:rsidR="00710903" w:rsidRPr="00710903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</w:t>
      </w:r>
      <w:r w:rsidR="00710903">
        <w:rPr>
          <w:rFonts w:eastAsia="Times New Roman" w:cs="Times New Roman"/>
          <w:sz w:val="24"/>
          <w:szCs w:val="24"/>
          <w:lang w:eastAsia="ru-RU"/>
        </w:rPr>
        <w:t>жностей работников образования»;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7015AA" w:rsidRPr="007015AA" w:rsidRDefault="007015AA" w:rsidP="00EA248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EA24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2489" w:rsidRPr="00EA2489">
        <w:rPr>
          <w:rFonts w:eastAsia="Times New Roman" w:cs="Times New Roman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7015AA">
        <w:rPr>
          <w:rFonts w:eastAsia="Times New Roman" w:cs="Times New Roman"/>
          <w:sz w:val="24"/>
          <w:szCs w:val="24"/>
          <w:lang w:eastAsia="ru-RU"/>
        </w:rPr>
        <w:t>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б) лаборатории, оснащенные специализированным оборудованием и расходным материалом в количестве, позволяющем обучающимся осваивать умения и навыки индивидуально, для проведения гистологических,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цитоонкологических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, микробиологических, иммунологических, биохимических, медико-генетических, </w:t>
      </w:r>
      <w:proofErr w:type="spellStart"/>
      <w:r w:rsidRPr="007015AA">
        <w:rPr>
          <w:rFonts w:eastAsia="Times New Roman" w:cs="Times New Roman"/>
          <w:sz w:val="24"/>
          <w:szCs w:val="24"/>
          <w:lang w:eastAsia="ru-RU"/>
        </w:rPr>
        <w:t>паразитологических</w:t>
      </w:r>
      <w:proofErr w:type="spellEnd"/>
      <w:r w:rsidRPr="007015AA">
        <w:rPr>
          <w:rFonts w:eastAsia="Times New Roman" w:cs="Times New Roman"/>
          <w:sz w:val="24"/>
          <w:szCs w:val="24"/>
          <w:lang w:eastAsia="ru-RU"/>
        </w:rPr>
        <w:t>, микологических, вирусологических диагностических исследований, а также иное оборудование необходимое для реализации программы ординатуры.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7015AA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7015AA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7015AA" w:rsidRPr="007015AA" w:rsidRDefault="007015AA" w:rsidP="001B14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Pr="007015AA" w:rsidRDefault="007015AA" w:rsidP="001B143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015AA" w:rsidRPr="007015AA" w:rsidRDefault="007015AA" w:rsidP="001B143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к Государственному образовательному</w:t>
      </w:r>
    </w:p>
    <w:p w:rsidR="007015AA" w:rsidRPr="007015AA" w:rsidRDefault="007015AA" w:rsidP="001B143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стандарту послевузовского профессионального</w:t>
      </w:r>
    </w:p>
    <w:p w:rsidR="007015AA" w:rsidRPr="007015AA" w:rsidRDefault="007015AA" w:rsidP="001B143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образования – ординатуры по специальности</w:t>
      </w:r>
    </w:p>
    <w:p w:rsidR="007015AA" w:rsidRPr="007015AA" w:rsidRDefault="007015AA" w:rsidP="001B143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31.08.05 Клиническая лабораторная диагностика</w:t>
      </w:r>
    </w:p>
    <w:p w:rsidR="001B1435" w:rsidRDefault="001B1435" w:rsidP="001B143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1435" w:rsidRDefault="001B1435" w:rsidP="001B143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5AA" w:rsidRDefault="007015AA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15AA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1B1435" w:rsidRDefault="001B1435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7"/>
        <w:gridCol w:w="3773"/>
      </w:tblGrid>
      <w:tr w:rsidR="00BD2AE4" w:rsidRPr="00BD2AE4" w:rsidTr="00CF728F">
        <w:tc>
          <w:tcPr>
            <w:tcW w:w="5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2AE4" w:rsidRPr="00BD2AE4" w:rsidTr="00CF7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2AE4" w:rsidRPr="00BD2AE4" w:rsidTr="00CF728F">
        <w:tc>
          <w:tcPr>
            <w:tcW w:w="5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E4" w:rsidRPr="00BD2AE4" w:rsidRDefault="00BD2AE4" w:rsidP="0074176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BD2AE4" w:rsidRDefault="00BD2AE4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D2AE4" w:rsidRDefault="00BD2AE4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D2AE4" w:rsidRPr="007015AA" w:rsidRDefault="00BD2AE4" w:rsidP="001B14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C76" w:rsidRPr="007015AA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RPr="007015AA" w:rsidSect="007015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F8"/>
    <w:rsid w:val="001472E0"/>
    <w:rsid w:val="001B1435"/>
    <w:rsid w:val="003478AB"/>
    <w:rsid w:val="00417953"/>
    <w:rsid w:val="004C27F9"/>
    <w:rsid w:val="006C0B77"/>
    <w:rsid w:val="007015AA"/>
    <w:rsid w:val="00710903"/>
    <w:rsid w:val="007144B9"/>
    <w:rsid w:val="00741765"/>
    <w:rsid w:val="007A00F8"/>
    <w:rsid w:val="008242FF"/>
    <w:rsid w:val="00845E2D"/>
    <w:rsid w:val="00870751"/>
    <w:rsid w:val="00922C48"/>
    <w:rsid w:val="0097348D"/>
    <w:rsid w:val="00B915B7"/>
    <w:rsid w:val="00BD2AE4"/>
    <w:rsid w:val="00BE4EFF"/>
    <w:rsid w:val="00C90D7D"/>
    <w:rsid w:val="00E84530"/>
    <w:rsid w:val="00EA1069"/>
    <w:rsid w:val="00EA24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8DB0-B091-41A6-84E2-789B3F32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16</cp:revision>
  <dcterms:created xsi:type="dcterms:W3CDTF">2024-06-19T07:57:00Z</dcterms:created>
  <dcterms:modified xsi:type="dcterms:W3CDTF">2025-02-27T13:38:00Z</dcterms:modified>
</cp:coreProperties>
</file>