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2B" w:rsidRDefault="00B13A09" w:rsidP="005A432B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B13A09">
        <w:rPr>
          <w:rFonts w:eastAsia="Times New Roman" w:cs="Times New Roman"/>
          <w:bCs/>
          <w:sz w:val="24"/>
          <w:szCs w:val="24"/>
          <w:lang w:eastAsia="ru-RU"/>
        </w:rPr>
        <w:t>Приказ</w:t>
      </w:r>
    </w:p>
    <w:p w:rsidR="005A432B" w:rsidRDefault="00B13A09" w:rsidP="005A432B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B13A09">
        <w:rPr>
          <w:rFonts w:eastAsia="Times New Roman" w:cs="Times New Roman"/>
          <w:bCs/>
          <w:sz w:val="24"/>
          <w:szCs w:val="24"/>
          <w:lang w:eastAsia="ru-RU"/>
        </w:rPr>
        <w:t>Министерства просвещения</w:t>
      </w:r>
    </w:p>
    <w:p w:rsidR="00B13A09" w:rsidRPr="00B13A09" w:rsidRDefault="00B13A09" w:rsidP="005A432B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bCs/>
          <w:sz w:val="24"/>
          <w:szCs w:val="24"/>
          <w:lang w:eastAsia="ru-RU"/>
        </w:rPr>
        <w:t>Приднестровской Молдавской Республики</w:t>
      </w:r>
    </w:p>
    <w:p w:rsidR="005A432B" w:rsidRDefault="005A432B" w:rsidP="005A432B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C1C56" w:rsidRPr="00B13A09" w:rsidRDefault="00CC1C56" w:rsidP="00CC1C56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28 июля 2021 г.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B13A09">
        <w:rPr>
          <w:rFonts w:eastAsia="Times New Roman" w:cs="Times New Roman"/>
          <w:sz w:val="24"/>
          <w:szCs w:val="24"/>
          <w:lang w:eastAsia="ru-RU"/>
        </w:rPr>
        <w:t>№ 676</w:t>
      </w:r>
    </w:p>
    <w:p w:rsidR="005A432B" w:rsidRDefault="005A432B" w:rsidP="005A432B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A432B" w:rsidRDefault="005A432B" w:rsidP="005A432B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="00B13A09" w:rsidRPr="00B13A09">
        <w:rPr>
          <w:rFonts w:eastAsia="Times New Roman" w:cs="Times New Roman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B13A09" w:rsidRPr="00B13A09" w:rsidRDefault="00B13A09" w:rsidP="005A432B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по специальности 31.08.58 Оториноларингология</w:t>
      </w:r>
      <w:r w:rsidR="005A432B">
        <w:rPr>
          <w:rFonts w:eastAsia="Times New Roman" w:cs="Times New Roman"/>
          <w:sz w:val="24"/>
          <w:szCs w:val="24"/>
          <w:lang w:eastAsia="ru-RU"/>
        </w:rPr>
        <w:t>»</w:t>
      </w:r>
    </w:p>
    <w:p w:rsidR="001F664A" w:rsidRDefault="001F664A" w:rsidP="001F664A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</w:p>
    <w:p w:rsidR="001F664A" w:rsidRPr="001B3044" w:rsidRDefault="001F664A" w:rsidP="001F664A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044">
        <w:rPr>
          <w:rFonts w:eastAsia="Times New Roman" w:cs="Times New Roman"/>
          <w:i/>
          <w:sz w:val="24"/>
          <w:szCs w:val="24"/>
          <w:lang w:eastAsia="ru-RU"/>
        </w:rPr>
        <w:t>Текст ниже приведенной редакции подготовлен с учетом изменений</w:t>
      </w:r>
    </w:p>
    <w:p w:rsidR="001F664A" w:rsidRPr="001F2653" w:rsidRDefault="001F664A" w:rsidP="001F664A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от 28 июля 2022 года </w:t>
      </w:r>
      <w:r w:rsidRPr="001F2653">
        <w:rPr>
          <w:rFonts w:eastAsia="Times New Roman" w:cs="Times New Roman"/>
          <w:i/>
          <w:sz w:val="24"/>
          <w:szCs w:val="24"/>
          <w:lang w:eastAsia="ru-RU"/>
        </w:rPr>
        <w:t>№ 665</w:t>
      </w: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, от </w:t>
      </w:r>
      <w:r>
        <w:rPr>
          <w:rFonts w:eastAsia="Times New Roman" w:cs="Times New Roman"/>
          <w:i/>
          <w:sz w:val="24"/>
          <w:szCs w:val="24"/>
          <w:lang w:eastAsia="ru-RU"/>
        </w:rPr>
        <w:t>3 июня 2024 года № 550</w:t>
      </w:r>
      <w:r w:rsidR="00D3661F">
        <w:rPr>
          <w:rFonts w:eastAsia="Times New Roman" w:cs="Times New Roman"/>
          <w:i/>
          <w:sz w:val="24"/>
          <w:szCs w:val="24"/>
          <w:lang w:eastAsia="ru-RU"/>
        </w:rPr>
        <w:t>, от 19 марта 2025 года № 248</w:t>
      </w:r>
    </w:p>
    <w:p w:rsid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A432B" w:rsidRPr="00B13A09" w:rsidRDefault="005A432B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B13A09" w:rsidRPr="00B13A09" w:rsidRDefault="00B13A09" w:rsidP="00DC67D7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1. Утвердить Государственный образовательный стандарт послевузовского профессионального образования - ординатуры по специальности 31.08.58 Оториноларингология согласно </w:t>
      </w:r>
      <w:proofErr w:type="gramStart"/>
      <w:r w:rsidRPr="00B13A09">
        <w:rPr>
          <w:rFonts w:eastAsia="Times New Roman" w:cs="Times New Roman"/>
          <w:sz w:val="24"/>
          <w:szCs w:val="24"/>
          <w:lang w:eastAsia="ru-RU"/>
        </w:rPr>
        <w:t>Приложению</w:t>
      </w:r>
      <w:proofErr w:type="gram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320CF8" w:rsidRDefault="00320CF8" w:rsidP="00320CF8">
      <w:pPr>
        <w:shd w:val="clear" w:color="auto" w:fill="FFFFFF"/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320CF8" w:rsidRDefault="00320CF8" w:rsidP="00320CF8">
      <w:pPr>
        <w:shd w:val="clear" w:color="auto" w:fill="FFFFFF"/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B13A09" w:rsidRPr="00B13A09" w:rsidRDefault="00320CF8" w:rsidP="00320CF8">
      <w:pPr>
        <w:shd w:val="clear" w:color="auto" w:fill="FFFFFF"/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="00B13A09" w:rsidRPr="00B13A09">
        <w:rPr>
          <w:rFonts w:eastAsia="Times New Roman" w:cs="Times New Roman"/>
          <w:bCs/>
          <w:sz w:val="24"/>
          <w:szCs w:val="24"/>
          <w:lang w:eastAsia="ru-RU"/>
        </w:rPr>
        <w:t>инистр</w:t>
      </w:r>
      <w:r w:rsidR="009729A5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9729A5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9729A5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9729A5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9729A5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9729A5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9729A5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9729A5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9729A5">
        <w:rPr>
          <w:rFonts w:eastAsia="Times New Roman" w:cs="Times New Roman"/>
          <w:bCs/>
          <w:sz w:val="24"/>
          <w:szCs w:val="24"/>
          <w:lang w:eastAsia="ru-RU"/>
        </w:rPr>
        <w:tab/>
        <w:t xml:space="preserve">      С.Н. Иванишина</w:t>
      </w:r>
    </w:p>
    <w:p w:rsidR="00933463" w:rsidRDefault="00933463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3463" w:rsidRDefault="00933463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33463" w:rsidRDefault="00933463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34879" w:rsidRDefault="0063487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34879" w:rsidRDefault="0063487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34879" w:rsidRDefault="0063487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34879" w:rsidRDefault="0063487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3A09" w:rsidRPr="00B13A09" w:rsidRDefault="00B13A09" w:rsidP="00634879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13A09" w:rsidRPr="00B13A09" w:rsidRDefault="00B13A09" w:rsidP="00634879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к Приказу Министерства просвещения</w:t>
      </w:r>
    </w:p>
    <w:p w:rsidR="00B13A09" w:rsidRPr="00B13A09" w:rsidRDefault="00B13A09" w:rsidP="00634879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Приднестровской Молдавской Республики</w:t>
      </w:r>
    </w:p>
    <w:p w:rsidR="00B13A09" w:rsidRPr="00B13A09" w:rsidRDefault="00B13A09" w:rsidP="00634879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от 28 июля 2021 года № 676</w:t>
      </w:r>
    </w:p>
    <w:p w:rsidR="00634879" w:rsidRDefault="0063487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3A09" w:rsidRPr="00B13A09" w:rsidRDefault="00B13A09" w:rsidP="0063487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Государственный образовательный стандарт</w:t>
      </w:r>
    </w:p>
    <w:p w:rsidR="00634879" w:rsidRDefault="00B13A09" w:rsidP="0063487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B13A09" w:rsidRDefault="00B13A09" w:rsidP="0063487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по специальности 31.08.58 Оториноларингология</w:t>
      </w:r>
    </w:p>
    <w:p w:rsidR="00634879" w:rsidRPr="00B13A09" w:rsidRDefault="0063487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3A09" w:rsidRDefault="00B13A09" w:rsidP="00FC56F8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1. Область применения</w:t>
      </w:r>
    </w:p>
    <w:p w:rsidR="00FC56F8" w:rsidRPr="00B13A09" w:rsidRDefault="00FC56F8" w:rsidP="00FC56F8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31.08.58 Оториноларингология (далее соответственно - программа ординатуры, специальность).</w:t>
      </w:r>
    </w:p>
    <w:p w:rsidR="00FC56F8" w:rsidRDefault="00FC56F8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3A09" w:rsidRDefault="00B13A09" w:rsidP="00FC56F8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2. Используемые сокращения</w:t>
      </w:r>
    </w:p>
    <w:p w:rsidR="00FC56F8" w:rsidRPr="00B13A09" w:rsidRDefault="00FC56F8" w:rsidP="00FC56F8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а) УК - универсальные компетенции;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б) ПК - профессиональные компетенции;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в) ГОС - государственный образовательный стандарт;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6F4050" w:rsidRDefault="006F4050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3A09" w:rsidRDefault="00B13A09" w:rsidP="006F405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3. Характеристика специальности</w:t>
      </w:r>
    </w:p>
    <w:p w:rsidR="006F4050" w:rsidRPr="00B13A09" w:rsidRDefault="006F4050" w:rsidP="006F405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>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96009A" w:rsidRDefault="0096009A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6009A" w:rsidRDefault="00B13A09" w:rsidP="0096009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B13A09" w:rsidRDefault="00B13A09" w:rsidP="0096009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освоивших программу ординатуры</w:t>
      </w:r>
    </w:p>
    <w:p w:rsidR="0096009A" w:rsidRPr="00B13A09" w:rsidRDefault="0096009A" w:rsidP="0096009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а) физические лица (пациенты) в возрасте от 0 до 15лет;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б) от 15 до 18 лет (далее - подростки) и в возрасте старше 18 лет (далее - взрослые);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в) население;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г) совокупность средств и технологий, направленных на создание условий для охраны здоровья граждан.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а) профилактическая;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б) диагностическая;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в) лечебная;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г) реабилитационная;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д) психолого-педагогическая;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а) профилактическая деятельность: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б) диагностическая деятельность: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2) диагностика неотложных состояний; диагностика беременности; проведение медицинской экспертизы;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в) лечебная деятельность: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1) оказание специализированной медицинской помощи;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lastRenderedPageBreak/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 деятельность: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3) организация проведения медицинской экспертизы;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3C36CA" w:rsidRDefault="003C36CA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3A09" w:rsidRDefault="00B13A09" w:rsidP="003C36C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3C36CA" w:rsidRPr="00B13A09" w:rsidRDefault="003C36CA" w:rsidP="003C36CA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 - УК2;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а) профилактическая деятельность: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медикостатистического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в) лечебная деятельность: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1) готовностью к ведению, и лечению пациентов, нуждающихся в оказании оториноларингологической медицинской помощи - ПК6;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lastRenderedPageBreak/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 деятельность: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3454B5" w:rsidRDefault="003454B5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3A09" w:rsidRDefault="00B13A09" w:rsidP="003454B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6. Требования к структуре программы ординатуры</w:t>
      </w:r>
    </w:p>
    <w:p w:rsidR="003454B5" w:rsidRPr="00B13A09" w:rsidRDefault="003454B5" w:rsidP="003454B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20. Структура программы ординатуры согласно </w:t>
      </w:r>
      <w:proofErr w:type="gramStart"/>
      <w:r w:rsidRPr="00B13A09">
        <w:rPr>
          <w:rFonts w:eastAsia="Times New Roman" w:cs="Times New Roman"/>
          <w:sz w:val="24"/>
          <w:szCs w:val="24"/>
          <w:lang w:eastAsia="ru-RU"/>
        </w:rPr>
        <w:t>Приложению</w:t>
      </w:r>
      <w:proofErr w:type="gram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. (базовая часть: 14-24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>.);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D3661F" w:rsidRPr="00D3661F">
        <w:rPr>
          <w:rFonts w:eastAsia="Times New Roman" w:cs="Times New Roman"/>
          <w:sz w:val="24"/>
          <w:szCs w:val="24"/>
          <w:lang w:eastAsia="ru-RU"/>
        </w:rPr>
        <w:t>Блок 2 «Практики», относящийся к базо</w:t>
      </w:r>
      <w:r w:rsidR="00D3661F">
        <w:rPr>
          <w:rFonts w:eastAsia="Times New Roman" w:cs="Times New Roman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D3661F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="00D3661F">
        <w:rPr>
          <w:rFonts w:eastAsia="Times New Roman" w:cs="Times New Roman"/>
          <w:sz w:val="24"/>
          <w:szCs w:val="24"/>
          <w:lang w:eastAsia="ru-RU"/>
        </w:rPr>
        <w:t>.</w:t>
      </w:r>
      <w:r w:rsidRPr="00B13A09">
        <w:rPr>
          <w:rFonts w:eastAsia="Times New Roman" w:cs="Times New Roman"/>
          <w:sz w:val="24"/>
          <w:szCs w:val="24"/>
          <w:lang w:eastAsia="ru-RU"/>
        </w:rPr>
        <w:t>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оториноларинголог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»: 3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. (базовая часть: 3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>.).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>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24. Дисциплины (модули), относящиеся к вариативной части программы ординатуры, и практики, обеспечивают освоение выпускником профессиональных </w:t>
      </w:r>
      <w:r w:rsidRPr="00B13A09">
        <w:rPr>
          <w:rFonts w:eastAsia="Times New Roman" w:cs="Times New Roman"/>
          <w:sz w:val="24"/>
          <w:szCs w:val="24"/>
          <w:lang w:eastAsia="ru-RU"/>
        </w:rPr>
        <w:lastRenderedPageBreak/>
        <w:t>компетенций с учетом конкретного вида (видов) деятельности в различных медицинских организациях.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2B6050" w:rsidRPr="002B6050" w:rsidRDefault="002B6050" w:rsidP="002B6050">
      <w:pPr>
        <w:spacing w:after="0"/>
        <w:ind w:firstLine="709"/>
        <w:rPr>
          <w:rFonts w:eastAsia="Calibri" w:cs="Times New Roman"/>
          <w:sz w:val="24"/>
          <w:szCs w:val="24"/>
        </w:rPr>
      </w:pPr>
      <w:r w:rsidRPr="002B6050">
        <w:rPr>
          <w:rFonts w:eastAsia="Times New Roman" w:cs="Times New Roman"/>
          <w:sz w:val="24"/>
          <w:szCs w:val="24"/>
          <w:lang w:eastAsia="ru-RU"/>
        </w:rPr>
        <w:t>26.</w:t>
      </w:r>
      <w:r w:rsidRPr="002B6050">
        <w:rPr>
          <w:rFonts w:eastAsia="Calibri" w:cs="Times New Roman"/>
          <w:sz w:val="24"/>
          <w:szCs w:val="24"/>
        </w:rPr>
        <w:t xml:space="preserve">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2B6050" w:rsidRPr="002B6050" w:rsidRDefault="002B6050" w:rsidP="002B6050">
      <w:pPr>
        <w:spacing w:after="0"/>
        <w:ind w:firstLine="709"/>
        <w:rPr>
          <w:rFonts w:eastAsia="Calibri" w:cs="Times New Roman"/>
          <w:sz w:val="24"/>
          <w:szCs w:val="24"/>
        </w:rPr>
      </w:pPr>
      <w:r w:rsidRPr="002B6050">
        <w:rPr>
          <w:rFonts w:eastAsia="Calibri" w:cs="Times New Roman"/>
          <w:sz w:val="24"/>
          <w:szCs w:val="24"/>
        </w:rPr>
        <w:t>а) стационарная;</w:t>
      </w:r>
    </w:p>
    <w:p w:rsidR="002B6050" w:rsidRPr="002B6050" w:rsidRDefault="002B6050" w:rsidP="002B6050">
      <w:pPr>
        <w:spacing w:after="0"/>
        <w:ind w:firstLine="709"/>
        <w:rPr>
          <w:rFonts w:eastAsia="Calibri" w:cs="Times New Roman"/>
          <w:sz w:val="24"/>
          <w:szCs w:val="24"/>
        </w:rPr>
      </w:pPr>
      <w:r w:rsidRPr="002B6050">
        <w:rPr>
          <w:rFonts w:eastAsia="Calibri" w:cs="Times New Roman"/>
          <w:sz w:val="24"/>
          <w:szCs w:val="24"/>
        </w:rPr>
        <w:t>б) выездная.</w:t>
      </w:r>
    </w:p>
    <w:p w:rsidR="002B6050" w:rsidRPr="002B6050" w:rsidRDefault="002B6050" w:rsidP="002B6050">
      <w:pPr>
        <w:spacing w:after="0"/>
        <w:ind w:firstLine="709"/>
        <w:rPr>
          <w:rFonts w:eastAsia="Calibri" w:cs="Times New Roman"/>
          <w:sz w:val="24"/>
          <w:szCs w:val="24"/>
        </w:rPr>
      </w:pPr>
      <w:r w:rsidRPr="002B6050">
        <w:rPr>
          <w:rFonts w:eastAsia="Calibri" w:cs="Times New Roman"/>
          <w:sz w:val="24"/>
          <w:szCs w:val="24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2B6050" w:rsidRPr="002B6050" w:rsidRDefault="002B6050" w:rsidP="002B6050">
      <w:pPr>
        <w:shd w:val="clear" w:color="auto" w:fill="FFFFFF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B6050">
        <w:rPr>
          <w:rFonts w:eastAsia="Calibri" w:cs="Times New Roman"/>
          <w:sz w:val="24"/>
          <w:szCs w:val="24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доступности.»</w:t>
      </w:r>
    </w:p>
    <w:p w:rsidR="00B13A09" w:rsidRPr="00B13A09" w:rsidRDefault="00B13A09" w:rsidP="002B605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BC3AD5">
        <w:rPr>
          <w:rFonts w:eastAsia="Times New Roman" w:cs="Times New Roman"/>
          <w:sz w:val="24"/>
          <w:szCs w:val="24"/>
          <w:lang w:eastAsia="ru-RU"/>
        </w:rPr>
        <w:t>менее</w:t>
      </w:r>
      <w:r w:rsidRPr="00B13A09">
        <w:rPr>
          <w:rFonts w:eastAsia="Times New Roman" w:cs="Times New Roman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3454B5" w:rsidRDefault="003454B5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3A09" w:rsidRDefault="00B13A09" w:rsidP="003454B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3454B5" w:rsidRPr="00B13A09" w:rsidRDefault="003454B5" w:rsidP="003454B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B13A09">
        <w:rPr>
          <w:rFonts w:eastAsia="Times New Roman" w:cs="Times New Roman"/>
          <w:sz w:val="24"/>
          <w:szCs w:val="24"/>
          <w:lang w:eastAsia="ru-RU"/>
        </w:rPr>
        <w:t>доступа</w:t>
      </w:r>
      <w:proofErr w:type="gram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lastRenderedPageBreak/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3D50E3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д) </w:t>
      </w:r>
      <w:r w:rsidR="003D50E3" w:rsidRPr="003D50E3">
        <w:rPr>
          <w:rFonts w:eastAsia="Times New Roman" w:cs="Times New Roman"/>
          <w:sz w:val="24"/>
          <w:szCs w:val="24"/>
          <w:lang w:eastAsia="ru-RU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D3661F" w:rsidRPr="00D3661F">
        <w:rPr>
          <w:rFonts w:eastAsia="Times New Roman" w:cs="Times New Roman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</w:t>
      </w:r>
      <w:r w:rsidRPr="00B13A09">
        <w:rPr>
          <w:rFonts w:eastAsia="Times New Roman" w:cs="Times New Roman"/>
          <w:sz w:val="24"/>
          <w:szCs w:val="24"/>
          <w:lang w:eastAsia="ru-RU"/>
        </w:rPr>
        <w:t>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симуляционные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симуляционной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</w:t>
      </w:r>
      <w:r w:rsidRPr="00B13A09">
        <w:rPr>
          <w:rFonts w:eastAsia="Times New Roman" w:cs="Times New Roman"/>
          <w:sz w:val="24"/>
          <w:szCs w:val="24"/>
          <w:lang w:eastAsia="ru-RU"/>
        </w:rPr>
        <w:lastRenderedPageBreak/>
        <w:t xml:space="preserve">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аппарат электрохирургический высокочастотный, осветитель налобный, набор инструментов для диагностики и хирургии в оториноларингологии, лупа бинокулярная, баллон для продувания ушей, риноскоп,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риноларингофиброскоп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негатоскоп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, аудиометр клинический со встроенным усилителем и возможностью подключения к компьютеру и принтеру, набор камертонов (C64 - C4000), комплект инструментов для осмотра ЛОР-органов, система регистрации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отоакустической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 эмиссии,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тимпанометр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>/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импедансометр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>, крючок для удаления инородных тел из носа и уха, кресло вращающееся (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Барани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), (комплекс) для проверки и тренировки вестибулярного аппарата,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ларингофарингоскоп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, компьютерная система диагностики голоса и речи, трубка трахеотомическая,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шумоинтегратор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 (измеритель шумов и вибраций), аппарат для нервно-мышечной </w:t>
      </w:r>
      <w:proofErr w:type="spellStart"/>
      <w:r w:rsidRPr="00B13A09">
        <w:rPr>
          <w:rFonts w:eastAsia="Times New Roman" w:cs="Times New Roman"/>
          <w:sz w:val="24"/>
          <w:szCs w:val="24"/>
          <w:lang w:eastAsia="ru-RU"/>
        </w:rPr>
        <w:t>электрофониатрической</w:t>
      </w:r>
      <w:proofErr w:type="spell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 стимуляции)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B13A09">
        <w:rPr>
          <w:rFonts w:eastAsia="Times New Roman" w:cs="Times New Roman"/>
          <w:sz w:val="24"/>
          <w:szCs w:val="24"/>
          <w:lang w:eastAsia="ru-RU"/>
        </w:rPr>
        <w:t>процентов</w:t>
      </w:r>
      <w:proofErr w:type="gramEnd"/>
      <w:r w:rsidRPr="00B13A09">
        <w:rPr>
          <w:rFonts w:eastAsia="Times New Roman" w:cs="Times New Roman"/>
          <w:sz w:val="24"/>
          <w:szCs w:val="24"/>
          <w:lang w:eastAsia="ru-RU"/>
        </w:rPr>
        <w:t xml:space="preserve"> обучающихся по программе ординатуры;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B13A09" w:rsidRPr="00B13A09" w:rsidRDefault="00B13A09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454B5" w:rsidRDefault="003454B5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454B5" w:rsidRDefault="003454B5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454B5" w:rsidRDefault="003454B5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454B5" w:rsidRDefault="003454B5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454B5" w:rsidRDefault="003454B5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454B5" w:rsidRDefault="003454B5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454B5" w:rsidRDefault="003454B5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454B5" w:rsidRDefault="003454B5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0836" w:rsidRDefault="00FB0836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0836" w:rsidRDefault="00FB0836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0836" w:rsidRDefault="00FB0836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454B5" w:rsidRDefault="003454B5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3A09" w:rsidRPr="00B13A09" w:rsidRDefault="00B13A09" w:rsidP="003454B5">
      <w:pPr>
        <w:shd w:val="clear" w:color="auto" w:fill="FFFFFF"/>
        <w:spacing w:after="0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lastRenderedPageBreak/>
        <w:t>Прил</w:t>
      </w:r>
      <w:bookmarkStart w:id="0" w:name="_GoBack"/>
      <w:bookmarkEnd w:id="0"/>
      <w:r w:rsidRPr="00B13A09">
        <w:rPr>
          <w:rFonts w:eastAsia="Times New Roman" w:cs="Times New Roman"/>
          <w:sz w:val="24"/>
          <w:szCs w:val="24"/>
          <w:lang w:eastAsia="ru-RU"/>
        </w:rPr>
        <w:t>ожение к Государственному</w:t>
      </w:r>
    </w:p>
    <w:p w:rsidR="00B13A09" w:rsidRPr="00B13A09" w:rsidRDefault="00B13A09" w:rsidP="003454B5">
      <w:pPr>
        <w:shd w:val="clear" w:color="auto" w:fill="FFFFFF"/>
        <w:spacing w:after="0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образовательному стандарту послевузовского</w:t>
      </w:r>
    </w:p>
    <w:p w:rsidR="00B13A09" w:rsidRPr="00B13A09" w:rsidRDefault="00B13A09" w:rsidP="003454B5">
      <w:pPr>
        <w:shd w:val="clear" w:color="auto" w:fill="FFFFFF"/>
        <w:spacing w:after="0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профессионального образования - ординатуры</w:t>
      </w:r>
    </w:p>
    <w:p w:rsidR="00B13A09" w:rsidRPr="00B13A09" w:rsidRDefault="00B13A09" w:rsidP="003454B5">
      <w:pPr>
        <w:shd w:val="clear" w:color="auto" w:fill="FFFFFF"/>
        <w:spacing w:after="0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по специальности 31.08.58 Оториноларингология</w:t>
      </w:r>
    </w:p>
    <w:p w:rsidR="003454B5" w:rsidRDefault="003454B5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454B5" w:rsidRDefault="003454B5" w:rsidP="00EC70D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13A09" w:rsidRDefault="00B13A09" w:rsidP="003454B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3A09">
        <w:rPr>
          <w:rFonts w:eastAsia="Times New Roman" w:cs="Times New Roman"/>
          <w:sz w:val="24"/>
          <w:szCs w:val="24"/>
          <w:lang w:eastAsia="ru-RU"/>
        </w:rPr>
        <w:t>Структура программы ординатуры</w:t>
      </w:r>
    </w:p>
    <w:p w:rsidR="003454B5" w:rsidRDefault="003454B5" w:rsidP="003454B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4159"/>
        <w:gridCol w:w="4101"/>
      </w:tblGrid>
      <w:tr w:rsidR="00383059" w:rsidRPr="00383059" w:rsidTr="00383059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Структура программы ординатуры</w:t>
            </w:r>
          </w:p>
          <w:p w:rsidR="00383059" w:rsidRP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83059" w:rsidRPr="00383059" w:rsidTr="00383059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18-32</w:t>
            </w:r>
          </w:p>
        </w:tc>
      </w:tr>
      <w:tr w:rsidR="00383059" w:rsidRPr="00383059" w:rsidTr="0038305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14-24</w:t>
            </w:r>
          </w:p>
        </w:tc>
      </w:tr>
      <w:tr w:rsidR="00383059" w:rsidRPr="00383059" w:rsidTr="0038305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4-9</w:t>
            </w:r>
          </w:p>
        </w:tc>
      </w:tr>
      <w:tr w:rsidR="00383059" w:rsidRPr="00383059" w:rsidTr="00383059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383059" w:rsidRPr="00383059" w:rsidTr="0038305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383059" w:rsidRPr="00383059" w:rsidTr="00383059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3059" w:rsidRPr="00383059" w:rsidTr="00383059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3059" w:rsidRPr="00383059" w:rsidTr="00383059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059" w:rsidRPr="00383059" w:rsidRDefault="00383059" w:rsidP="0038305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0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383059" w:rsidRDefault="00383059" w:rsidP="003454B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059" w:rsidRDefault="00383059" w:rsidP="003454B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059" w:rsidRDefault="00383059" w:rsidP="003454B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059" w:rsidRDefault="00383059" w:rsidP="003454B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059" w:rsidRPr="00B13A09" w:rsidRDefault="00383059" w:rsidP="003454B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12C76" w:rsidRPr="00F805B9" w:rsidRDefault="00F12C76" w:rsidP="00EC70D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F805B9" w:rsidSect="00784D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23"/>
    <w:rsid w:val="001F664A"/>
    <w:rsid w:val="00275DA6"/>
    <w:rsid w:val="002B6050"/>
    <w:rsid w:val="00320CF8"/>
    <w:rsid w:val="003454B5"/>
    <w:rsid w:val="00383059"/>
    <w:rsid w:val="003C36CA"/>
    <w:rsid w:val="003D50E3"/>
    <w:rsid w:val="004B1C23"/>
    <w:rsid w:val="005A432B"/>
    <w:rsid w:val="00634879"/>
    <w:rsid w:val="006C0B77"/>
    <w:rsid w:val="006F4050"/>
    <w:rsid w:val="00784D82"/>
    <w:rsid w:val="008242FF"/>
    <w:rsid w:val="00870751"/>
    <w:rsid w:val="00922C48"/>
    <w:rsid w:val="00933463"/>
    <w:rsid w:val="0096009A"/>
    <w:rsid w:val="009729A5"/>
    <w:rsid w:val="00B13A09"/>
    <w:rsid w:val="00B915B7"/>
    <w:rsid w:val="00BC3AD5"/>
    <w:rsid w:val="00CC1C56"/>
    <w:rsid w:val="00D3661F"/>
    <w:rsid w:val="00DC67D7"/>
    <w:rsid w:val="00EA59DF"/>
    <w:rsid w:val="00EC70D5"/>
    <w:rsid w:val="00EE4070"/>
    <w:rsid w:val="00F12C76"/>
    <w:rsid w:val="00F805B9"/>
    <w:rsid w:val="00FB0836"/>
    <w:rsid w:val="00FC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119E"/>
  <w15:chartTrackingRefBased/>
  <w15:docId w15:val="{F7A77AF6-CABA-4609-80D8-0105F929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Фурдуй Людмила Григорьевна</dc:creator>
  <cp:keywords/>
  <dc:description/>
  <cp:lastModifiedBy>Фурдуй Людмила Григорьевна</cp:lastModifiedBy>
  <cp:revision>20</cp:revision>
  <dcterms:created xsi:type="dcterms:W3CDTF">2024-06-19T11:01:00Z</dcterms:created>
  <dcterms:modified xsi:type="dcterms:W3CDTF">2025-04-09T10:50:00Z</dcterms:modified>
</cp:coreProperties>
</file>